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1E" w:rsidRPr="00C8636F" w:rsidRDefault="003F75C6" w:rsidP="009563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Law School </w:t>
      </w:r>
      <w:r w:rsidR="009563BB" w:rsidRPr="00C8636F">
        <w:rPr>
          <w:rFonts w:ascii="Arial" w:hAnsi="Arial" w:cs="Arial"/>
          <w:b/>
          <w:sz w:val="28"/>
          <w:szCs w:val="28"/>
          <w:u w:val="single"/>
        </w:rPr>
        <w:t>Faculty/Staff Travel Reimbursement Guidelines</w:t>
      </w:r>
      <w:r w:rsidR="009563BB" w:rsidRPr="00C8636F">
        <w:rPr>
          <w:rFonts w:ascii="Arial" w:hAnsi="Arial" w:cs="Arial"/>
          <w:b/>
          <w:sz w:val="28"/>
          <w:szCs w:val="28"/>
        </w:rPr>
        <w:tab/>
      </w:r>
    </w:p>
    <w:p w:rsidR="00651802" w:rsidRPr="00054FFE" w:rsidRDefault="00651802" w:rsidP="006518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802">
        <w:rPr>
          <w:rFonts w:ascii="Arial" w:hAnsi="Arial" w:cs="Arial"/>
          <w:b/>
          <w:sz w:val="24"/>
          <w:szCs w:val="24"/>
        </w:rPr>
        <w:t xml:space="preserve"> </w:t>
      </w:r>
      <w:r w:rsidRPr="00054FFE">
        <w:rPr>
          <w:rFonts w:ascii="Arial" w:hAnsi="Arial" w:cs="Arial"/>
          <w:sz w:val="24"/>
          <w:szCs w:val="24"/>
        </w:rPr>
        <w:t>Before Travel</w:t>
      </w:r>
    </w:p>
    <w:p w:rsidR="009563BB" w:rsidRDefault="00651802" w:rsidP="0065180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651802">
        <w:rPr>
          <w:rFonts w:ascii="Arial" w:hAnsi="Arial" w:cs="Arial"/>
          <w:b/>
          <w:sz w:val="24"/>
          <w:szCs w:val="24"/>
        </w:rPr>
        <w:t xml:space="preserve">All travel </w:t>
      </w:r>
      <w:r w:rsidR="003F75C6">
        <w:rPr>
          <w:rFonts w:ascii="Arial" w:hAnsi="Arial" w:cs="Arial"/>
          <w:b/>
          <w:sz w:val="24"/>
          <w:szCs w:val="24"/>
        </w:rPr>
        <w:t>must</w:t>
      </w:r>
      <w:r w:rsidR="00054FFE">
        <w:rPr>
          <w:rFonts w:ascii="Arial" w:hAnsi="Arial" w:cs="Arial"/>
          <w:b/>
          <w:sz w:val="24"/>
          <w:szCs w:val="24"/>
        </w:rPr>
        <w:t xml:space="preserve"> be approved</w:t>
      </w:r>
      <w:r w:rsidR="003F75C6">
        <w:rPr>
          <w:rFonts w:ascii="Arial" w:hAnsi="Arial" w:cs="Arial"/>
          <w:b/>
          <w:sz w:val="24"/>
          <w:szCs w:val="24"/>
        </w:rPr>
        <w:t xml:space="preserve"> in advance by the Dean</w:t>
      </w:r>
      <w:r w:rsidRPr="00651802">
        <w:rPr>
          <w:rFonts w:ascii="Arial" w:hAnsi="Arial" w:cs="Arial"/>
          <w:b/>
          <w:sz w:val="24"/>
          <w:szCs w:val="24"/>
        </w:rPr>
        <w:t>.</w:t>
      </w:r>
      <w:r w:rsidR="00054FFE">
        <w:rPr>
          <w:rFonts w:ascii="Arial" w:hAnsi="Arial" w:cs="Arial"/>
          <w:b/>
          <w:sz w:val="24"/>
          <w:szCs w:val="24"/>
        </w:rPr>
        <w:t xml:space="preserve">  Please provide </w:t>
      </w:r>
      <w:r w:rsidR="003F75C6">
        <w:rPr>
          <w:rFonts w:ascii="Arial" w:hAnsi="Arial" w:cs="Arial"/>
          <w:b/>
          <w:sz w:val="24"/>
          <w:szCs w:val="24"/>
        </w:rPr>
        <w:t xml:space="preserve">via email to the Dean </w:t>
      </w:r>
      <w:r w:rsidR="00054FFE">
        <w:rPr>
          <w:rFonts w:ascii="Arial" w:hAnsi="Arial" w:cs="Arial"/>
          <w:b/>
          <w:sz w:val="24"/>
          <w:szCs w:val="24"/>
        </w:rPr>
        <w:t xml:space="preserve">a </w:t>
      </w:r>
      <w:r w:rsidR="003F75C6">
        <w:rPr>
          <w:rFonts w:ascii="Arial" w:hAnsi="Arial" w:cs="Arial"/>
          <w:b/>
          <w:sz w:val="24"/>
          <w:szCs w:val="24"/>
        </w:rPr>
        <w:t>brief</w:t>
      </w:r>
      <w:r w:rsidR="00054FFE">
        <w:rPr>
          <w:rFonts w:ascii="Arial" w:hAnsi="Arial" w:cs="Arial"/>
          <w:b/>
          <w:sz w:val="24"/>
          <w:szCs w:val="24"/>
        </w:rPr>
        <w:t xml:space="preserve"> description </w:t>
      </w:r>
      <w:r w:rsidR="003F75C6">
        <w:rPr>
          <w:rFonts w:ascii="Arial" w:hAnsi="Arial" w:cs="Arial"/>
          <w:b/>
          <w:sz w:val="24"/>
          <w:szCs w:val="24"/>
        </w:rPr>
        <w:t xml:space="preserve">of the purpose of the travel, along </w:t>
      </w:r>
      <w:r w:rsidR="00054FFE">
        <w:rPr>
          <w:rFonts w:ascii="Arial" w:hAnsi="Arial" w:cs="Arial"/>
          <w:b/>
          <w:sz w:val="24"/>
          <w:szCs w:val="24"/>
        </w:rPr>
        <w:t xml:space="preserve">with budget estimate </w:t>
      </w:r>
      <w:r w:rsidR="003F75C6">
        <w:rPr>
          <w:rFonts w:ascii="Arial" w:hAnsi="Arial" w:cs="Arial"/>
          <w:b/>
          <w:sz w:val="24"/>
          <w:szCs w:val="24"/>
        </w:rPr>
        <w:t>of all anticipated expenses (airfare, hotel, registration, transportation, etc.) and any documentation (such as a conference invitation or proposal acceptance),</w:t>
      </w:r>
      <w:r w:rsidR="00054FFE">
        <w:rPr>
          <w:rFonts w:ascii="Arial" w:hAnsi="Arial" w:cs="Arial"/>
          <w:b/>
          <w:sz w:val="24"/>
          <w:szCs w:val="24"/>
        </w:rPr>
        <w:t xml:space="preserve"> as early as possible prior to travel.</w:t>
      </w:r>
      <w:r w:rsidRPr="00651802">
        <w:rPr>
          <w:rFonts w:ascii="Arial" w:hAnsi="Arial" w:cs="Arial"/>
          <w:b/>
          <w:sz w:val="24"/>
          <w:szCs w:val="24"/>
        </w:rPr>
        <w:t xml:space="preserve">  </w:t>
      </w:r>
    </w:p>
    <w:p w:rsidR="009563BB" w:rsidRDefault="00651802" w:rsidP="0065180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Transportation can be</w:t>
      </w:r>
      <w:r w:rsidR="00B33135">
        <w:rPr>
          <w:rFonts w:ascii="Arial" w:hAnsi="Arial" w:cs="Arial"/>
          <w:sz w:val="24"/>
          <w:szCs w:val="24"/>
        </w:rPr>
        <w:t>:</w:t>
      </w:r>
    </w:p>
    <w:p w:rsidR="00651802" w:rsidRDefault="00651802" w:rsidP="0065180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billed to UND by calling Bon Voyage (772-6313)</w:t>
      </w:r>
      <w:r w:rsidR="00446C01">
        <w:rPr>
          <w:rFonts w:ascii="Arial" w:hAnsi="Arial" w:cs="Arial"/>
          <w:sz w:val="24"/>
          <w:szCs w:val="24"/>
        </w:rPr>
        <w:t xml:space="preserve"> – please ask the travel agent to call Dir. Of Finance (777-2105) for UND fund number</w:t>
      </w:r>
      <w:r w:rsidR="0056759F">
        <w:rPr>
          <w:rFonts w:ascii="Arial" w:hAnsi="Arial" w:cs="Arial"/>
          <w:sz w:val="24"/>
          <w:szCs w:val="24"/>
        </w:rPr>
        <w:t>, or</w:t>
      </w:r>
    </w:p>
    <w:p w:rsidR="00B33135" w:rsidRDefault="0056759F" w:rsidP="001433A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46C01">
        <w:rPr>
          <w:rFonts w:ascii="Arial" w:hAnsi="Arial" w:cs="Arial"/>
          <w:sz w:val="24"/>
          <w:szCs w:val="24"/>
        </w:rPr>
        <w:t>eimbursed after travel</w:t>
      </w:r>
      <w:r w:rsidR="009039B4">
        <w:rPr>
          <w:rFonts w:ascii="Arial" w:hAnsi="Arial" w:cs="Arial"/>
          <w:sz w:val="24"/>
          <w:szCs w:val="24"/>
        </w:rPr>
        <w:t xml:space="preserve"> w</w:t>
      </w:r>
      <w:r w:rsidR="009A7C1B">
        <w:rPr>
          <w:rFonts w:ascii="Arial" w:hAnsi="Arial" w:cs="Arial"/>
          <w:sz w:val="24"/>
          <w:szCs w:val="24"/>
        </w:rPr>
        <w:t>ith original receipt showing form of payment</w:t>
      </w:r>
      <w:r>
        <w:rPr>
          <w:rFonts w:ascii="Arial" w:hAnsi="Arial" w:cs="Arial"/>
          <w:sz w:val="24"/>
          <w:szCs w:val="24"/>
        </w:rPr>
        <w:t>.</w:t>
      </w:r>
      <w:r w:rsidR="009A7C1B">
        <w:rPr>
          <w:rFonts w:ascii="Arial" w:hAnsi="Arial" w:cs="Arial"/>
          <w:sz w:val="24"/>
          <w:szCs w:val="24"/>
        </w:rPr>
        <w:t xml:space="preserve"> </w:t>
      </w:r>
    </w:p>
    <w:p w:rsidR="00086EF0" w:rsidRDefault="009E3882" w:rsidP="009E38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fees can be paid</w:t>
      </w:r>
      <w:r w:rsidR="005B45A0">
        <w:rPr>
          <w:rFonts w:ascii="Arial" w:hAnsi="Arial" w:cs="Arial"/>
          <w:sz w:val="24"/>
          <w:szCs w:val="24"/>
        </w:rPr>
        <w:t xml:space="preserve"> prior to travel by submitting completed </w:t>
      </w:r>
    </w:p>
    <w:p w:rsidR="00086EF0" w:rsidRDefault="005B45A0" w:rsidP="00086EF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form to the </w:t>
      </w:r>
      <w:r w:rsidR="00A04464">
        <w:rPr>
          <w:rFonts w:ascii="Arial" w:hAnsi="Arial" w:cs="Arial"/>
          <w:sz w:val="24"/>
          <w:szCs w:val="24"/>
        </w:rPr>
        <w:t xml:space="preserve">Law School </w:t>
      </w:r>
      <w:r>
        <w:rPr>
          <w:rFonts w:ascii="Arial" w:hAnsi="Arial" w:cs="Arial"/>
          <w:sz w:val="24"/>
          <w:szCs w:val="24"/>
        </w:rPr>
        <w:t>F</w:t>
      </w:r>
      <w:r w:rsidR="00086EF0">
        <w:rPr>
          <w:rFonts w:ascii="Arial" w:hAnsi="Arial" w:cs="Arial"/>
          <w:sz w:val="24"/>
          <w:szCs w:val="24"/>
        </w:rPr>
        <w:t>inance Dept. (Julie and Cheri)</w:t>
      </w:r>
      <w:r w:rsidR="00CB299C">
        <w:rPr>
          <w:rFonts w:ascii="Arial" w:hAnsi="Arial" w:cs="Arial"/>
          <w:sz w:val="24"/>
          <w:szCs w:val="24"/>
        </w:rPr>
        <w:t>.  The School of Law generally will pay for only early registration fees; please plan your travel to meet any deadline for reduced conference registration fees.</w:t>
      </w:r>
    </w:p>
    <w:p w:rsidR="00086EF0" w:rsidRDefault="00086EF0" w:rsidP="00086EF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traveling in ND, the maximum reimbursement rate for lodging is $63 plus applicable taxes</w:t>
      </w:r>
      <w:r w:rsidR="001249AA">
        <w:rPr>
          <w:rFonts w:ascii="Arial" w:hAnsi="Arial" w:cs="Arial"/>
          <w:sz w:val="24"/>
          <w:szCs w:val="24"/>
        </w:rPr>
        <w:t xml:space="preserve">.  </w:t>
      </w:r>
      <w:r w:rsidR="00BE756B">
        <w:rPr>
          <w:rFonts w:ascii="Arial" w:hAnsi="Arial" w:cs="Arial"/>
          <w:sz w:val="24"/>
          <w:szCs w:val="24"/>
        </w:rPr>
        <w:t>You are responsible</w:t>
      </w:r>
      <w:r w:rsidR="0049522E">
        <w:rPr>
          <w:rFonts w:ascii="Arial" w:hAnsi="Arial" w:cs="Arial"/>
          <w:sz w:val="24"/>
          <w:szCs w:val="24"/>
        </w:rPr>
        <w:t xml:space="preserve"> </w:t>
      </w:r>
      <w:r w:rsidR="00BE756B">
        <w:rPr>
          <w:rFonts w:ascii="Arial" w:hAnsi="Arial" w:cs="Arial"/>
          <w:sz w:val="24"/>
          <w:szCs w:val="24"/>
        </w:rPr>
        <w:t>for requesting</w:t>
      </w:r>
      <w:r w:rsidR="0049522E">
        <w:rPr>
          <w:rFonts w:ascii="Arial" w:hAnsi="Arial" w:cs="Arial"/>
          <w:sz w:val="24"/>
          <w:szCs w:val="24"/>
        </w:rPr>
        <w:t xml:space="preserve"> the State Rate when booking your room.</w:t>
      </w:r>
    </w:p>
    <w:p w:rsidR="00086EF0" w:rsidRPr="00086EF0" w:rsidRDefault="00086EF0" w:rsidP="00086EF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traveling with a companion, </w:t>
      </w:r>
      <w:r w:rsidR="00674ABA">
        <w:rPr>
          <w:rFonts w:ascii="Arial" w:hAnsi="Arial" w:cs="Arial"/>
          <w:sz w:val="24"/>
          <w:szCs w:val="24"/>
        </w:rPr>
        <w:t>you will only be</w:t>
      </w:r>
      <w:r>
        <w:rPr>
          <w:rFonts w:ascii="Arial" w:hAnsi="Arial" w:cs="Arial"/>
          <w:sz w:val="24"/>
          <w:szCs w:val="24"/>
        </w:rPr>
        <w:t xml:space="preserve"> reimbursed for </w:t>
      </w:r>
      <w:r w:rsidR="00674ABA">
        <w:rPr>
          <w:rFonts w:ascii="Arial" w:hAnsi="Arial" w:cs="Arial"/>
          <w:sz w:val="24"/>
          <w:szCs w:val="24"/>
        </w:rPr>
        <w:t>the single room rate.  Please ask for a receipt that states the single room rate.</w:t>
      </w:r>
    </w:p>
    <w:p w:rsidR="001433A5" w:rsidRDefault="001433A5" w:rsidP="00143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travel</w:t>
      </w:r>
    </w:p>
    <w:p w:rsidR="001433A5" w:rsidRDefault="001433A5" w:rsidP="001433A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helpful to keep a folder of all receipts for reimbursement purposes</w:t>
      </w:r>
      <w:r w:rsidR="0056759F">
        <w:rPr>
          <w:rFonts w:ascii="Arial" w:hAnsi="Arial" w:cs="Arial"/>
          <w:sz w:val="24"/>
          <w:szCs w:val="24"/>
        </w:rPr>
        <w:t>.</w:t>
      </w:r>
    </w:p>
    <w:p w:rsidR="0031534A" w:rsidRPr="00A71C3E" w:rsidRDefault="009E3882" w:rsidP="0031534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receipts</w:t>
      </w:r>
      <w:r w:rsidR="00C10B09">
        <w:rPr>
          <w:rFonts w:ascii="Arial" w:hAnsi="Arial" w:cs="Arial"/>
          <w:sz w:val="24"/>
          <w:szCs w:val="24"/>
        </w:rPr>
        <w:t xml:space="preserve"> </w:t>
      </w:r>
      <w:r w:rsidR="0061188F">
        <w:rPr>
          <w:rFonts w:ascii="Arial" w:hAnsi="Arial" w:cs="Arial"/>
          <w:sz w:val="24"/>
          <w:szCs w:val="24"/>
        </w:rPr>
        <w:t>with form of payment and zero balance indicated</w:t>
      </w:r>
      <w:r w:rsidR="00FA58ED">
        <w:rPr>
          <w:rFonts w:ascii="Arial" w:hAnsi="Arial" w:cs="Arial"/>
          <w:sz w:val="24"/>
          <w:szCs w:val="24"/>
        </w:rPr>
        <w:t xml:space="preserve"> </w:t>
      </w:r>
      <w:r w:rsidR="00C10B09">
        <w:rPr>
          <w:rFonts w:ascii="Arial" w:hAnsi="Arial" w:cs="Arial"/>
          <w:sz w:val="24"/>
          <w:szCs w:val="24"/>
        </w:rPr>
        <w:t>(or copy of cancelled check, front and back)</w:t>
      </w:r>
      <w:r>
        <w:rPr>
          <w:rFonts w:ascii="Arial" w:hAnsi="Arial" w:cs="Arial"/>
          <w:sz w:val="24"/>
          <w:szCs w:val="24"/>
        </w:rPr>
        <w:t xml:space="preserve"> must be kept for reimbursement. This includes </w:t>
      </w:r>
      <w:r w:rsidR="005B45A0">
        <w:rPr>
          <w:rFonts w:ascii="Arial" w:hAnsi="Arial" w:cs="Arial"/>
          <w:sz w:val="24"/>
          <w:szCs w:val="24"/>
        </w:rPr>
        <w:t xml:space="preserve">any registration fees paid by traveler, baggage charges, cab and/or bus fares, </w:t>
      </w:r>
      <w:r w:rsidR="00C10B09">
        <w:rPr>
          <w:rFonts w:ascii="Arial" w:hAnsi="Arial" w:cs="Arial"/>
          <w:sz w:val="24"/>
          <w:szCs w:val="24"/>
        </w:rPr>
        <w:t xml:space="preserve">parking, </w:t>
      </w:r>
      <w:r w:rsidR="005B45A0">
        <w:rPr>
          <w:rFonts w:ascii="Arial" w:hAnsi="Arial" w:cs="Arial"/>
          <w:sz w:val="24"/>
          <w:szCs w:val="24"/>
        </w:rPr>
        <w:t xml:space="preserve">itemized car rental and fuel receipts, </w:t>
      </w:r>
      <w:r w:rsidR="00C10B09">
        <w:rPr>
          <w:rFonts w:ascii="Arial" w:hAnsi="Arial" w:cs="Arial"/>
          <w:sz w:val="24"/>
          <w:szCs w:val="24"/>
        </w:rPr>
        <w:t>and itemized lodging receipts</w:t>
      </w:r>
      <w:r w:rsidR="00CB745F">
        <w:rPr>
          <w:rFonts w:ascii="Arial" w:hAnsi="Arial" w:cs="Arial"/>
          <w:sz w:val="24"/>
          <w:szCs w:val="24"/>
        </w:rPr>
        <w:t>.</w:t>
      </w:r>
      <w:r w:rsidR="0031534A">
        <w:rPr>
          <w:rFonts w:ascii="Arial" w:hAnsi="Arial" w:cs="Arial"/>
          <w:sz w:val="24"/>
          <w:szCs w:val="24"/>
        </w:rPr>
        <w:t xml:space="preserve">  </w:t>
      </w:r>
      <w:r w:rsidR="0031534A" w:rsidRPr="0031534A">
        <w:rPr>
          <w:rFonts w:ascii="Arial" w:hAnsi="Arial" w:cs="Arial"/>
          <w:b/>
          <w:sz w:val="24"/>
          <w:szCs w:val="24"/>
        </w:rPr>
        <w:t>Tips are not reimbursable.</w:t>
      </w:r>
    </w:p>
    <w:p w:rsidR="002F729C" w:rsidRDefault="002F729C" w:rsidP="0031534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per diem must account for any meals provided by the host or conference.  Please list all meals provided during travel.</w:t>
      </w:r>
    </w:p>
    <w:p w:rsidR="00A71C3E" w:rsidRDefault="00A71C3E" w:rsidP="0031534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of Law generally does not reimburse for personal vehicle mileage of less than 25 miles, nor provide per diem for travel of less than one full day.</w:t>
      </w:r>
    </w:p>
    <w:p w:rsidR="00F35D3E" w:rsidRDefault="00F35D3E" w:rsidP="00F35D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35D3E" w:rsidRDefault="00F35D3E" w:rsidP="00F35D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35D3E" w:rsidRPr="0031534A" w:rsidRDefault="00F35D3E" w:rsidP="00F35D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E3882" w:rsidRDefault="0031534A" w:rsidP="003153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After travel</w:t>
      </w:r>
    </w:p>
    <w:p w:rsidR="0031534A" w:rsidRDefault="0031534A" w:rsidP="0031534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Faculty/Staf</w:t>
      </w:r>
      <w:r w:rsidR="00A04464">
        <w:rPr>
          <w:rFonts w:ascii="Arial" w:hAnsi="Arial" w:cs="Arial"/>
          <w:sz w:val="24"/>
          <w:szCs w:val="24"/>
        </w:rPr>
        <w:t xml:space="preserve">f Travel Reimbursement Form, </w:t>
      </w:r>
      <w:r>
        <w:rPr>
          <w:rFonts w:ascii="Arial" w:hAnsi="Arial" w:cs="Arial"/>
          <w:sz w:val="24"/>
          <w:szCs w:val="24"/>
        </w:rPr>
        <w:t xml:space="preserve">attach all </w:t>
      </w:r>
      <w:r w:rsidR="00556D95">
        <w:rPr>
          <w:rFonts w:ascii="Arial" w:hAnsi="Arial" w:cs="Arial"/>
          <w:sz w:val="24"/>
          <w:szCs w:val="24"/>
        </w:rPr>
        <w:t>original receipts within 10 days after the end of a traveling month</w:t>
      </w:r>
      <w:r w:rsidR="00A04464">
        <w:rPr>
          <w:rFonts w:ascii="Arial" w:hAnsi="Arial" w:cs="Arial"/>
          <w:sz w:val="24"/>
          <w:szCs w:val="24"/>
        </w:rPr>
        <w:t>, and submit to the Law School Finance Dept.</w:t>
      </w:r>
    </w:p>
    <w:p w:rsidR="009C072D" w:rsidRDefault="00556D95" w:rsidP="009C07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FYI-Accounting is contemplating a policy that any expenses submitted after 30 days will not be reimbursable</w:t>
      </w:r>
      <w:r w:rsidR="00BE756B">
        <w:rPr>
          <w:rFonts w:ascii="Arial" w:hAnsi="Arial" w:cs="Arial"/>
          <w:sz w:val="24"/>
          <w:szCs w:val="24"/>
        </w:rPr>
        <w:t>.</w:t>
      </w:r>
    </w:p>
    <w:p w:rsidR="009C072D" w:rsidRDefault="009C072D" w:rsidP="009C07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Travel</w:t>
      </w:r>
    </w:p>
    <w:p w:rsidR="009C072D" w:rsidRDefault="00146E25" w:rsidP="009C07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employees traveling and working outside the U.S. for more than 30 days will only be covered by ND Workforce Safety &amp; Insurance (WSI) from the day they leave through the 30</w:t>
      </w:r>
      <w:r w:rsidRPr="00146E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for any work related injury.</w:t>
      </w:r>
    </w:p>
    <w:p w:rsidR="00146E25" w:rsidRDefault="00146E25" w:rsidP="009C07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renting a vehicle for University use while in a foreign country (including Canada and Mexico), liability coverage offered by the car</w:t>
      </w:r>
      <w:r w:rsidR="00976BA8">
        <w:rPr>
          <w:rFonts w:ascii="Arial" w:hAnsi="Arial" w:cs="Arial"/>
          <w:sz w:val="24"/>
          <w:szCs w:val="24"/>
        </w:rPr>
        <w:t xml:space="preserve"> rental agency MUST BE PURCHASED</w:t>
      </w:r>
      <w:r>
        <w:rPr>
          <w:rFonts w:ascii="Arial" w:hAnsi="Arial" w:cs="Arial"/>
          <w:sz w:val="24"/>
          <w:szCs w:val="24"/>
        </w:rPr>
        <w:t>.</w:t>
      </w:r>
    </w:p>
    <w:p w:rsidR="00146E25" w:rsidRDefault="00146E25" w:rsidP="009C07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Management purchases a separate international/foreign travel insurance policy</w:t>
      </w:r>
      <w:r w:rsidR="00976BA8">
        <w:rPr>
          <w:rFonts w:ascii="Arial" w:hAnsi="Arial" w:cs="Arial"/>
          <w:sz w:val="24"/>
          <w:szCs w:val="24"/>
        </w:rPr>
        <w:t xml:space="preserve"> that is intended to fill some of the gaps between compensable work injuries and injuries not related to work.  The policy # is:  PHFD36755817.</w:t>
      </w:r>
    </w:p>
    <w:p w:rsidR="00976BA8" w:rsidRPr="009C072D" w:rsidRDefault="00976BA8" w:rsidP="009C072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the Campus Safety and Security/Risk </w:t>
      </w:r>
      <w:r w:rsidR="00452735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website for more information and forms regarding international travel.</w:t>
      </w:r>
    </w:p>
    <w:p w:rsidR="00BF3BAE" w:rsidRDefault="00DC6033" w:rsidP="00BF3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consult with the Law School Finance Dept. or refer to the Accounting Services website regarding more complicated or unusual travel situations.  These are </w:t>
      </w:r>
      <w:r w:rsidR="00691AC6">
        <w:rPr>
          <w:rFonts w:ascii="Arial" w:hAnsi="Arial" w:cs="Arial"/>
          <w:sz w:val="24"/>
          <w:szCs w:val="24"/>
        </w:rPr>
        <w:t>intended as</w:t>
      </w:r>
      <w:r>
        <w:rPr>
          <w:rFonts w:ascii="Arial" w:hAnsi="Arial" w:cs="Arial"/>
          <w:sz w:val="24"/>
          <w:szCs w:val="24"/>
        </w:rPr>
        <w:t xml:space="preserve"> basic guidelines</w:t>
      </w:r>
      <w:r w:rsidR="00691AC6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.</w:t>
      </w: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976BA8" w:rsidRDefault="00976BA8" w:rsidP="00BF3BAE">
      <w:pPr>
        <w:rPr>
          <w:rFonts w:ascii="Arial" w:hAnsi="Arial" w:cs="Arial"/>
          <w:sz w:val="24"/>
          <w:szCs w:val="24"/>
        </w:rPr>
      </w:pPr>
    </w:p>
    <w:p w:rsidR="00C8636F" w:rsidRPr="00C8636F" w:rsidRDefault="00C8636F" w:rsidP="00BF3B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36F">
        <w:rPr>
          <w:rFonts w:ascii="Arial" w:hAnsi="Arial" w:cs="Arial"/>
          <w:b/>
          <w:sz w:val="28"/>
          <w:szCs w:val="28"/>
          <w:u w:val="single"/>
        </w:rPr>
        <w:lastRenderedPageBreak/>
        <w:t>Faculty/Staff Travel Reimbursement Form</w:t>
      </w:r>
    </w:p>
    <w:p w:rsidR="00C8636F" w:rsidRDefault="00C8636F" w:rsidP="009A7C1B">
      <w:pPr>
        <w:rPr>
          <w:rFonts w:ascii="Arial" w:hAnsi="Arial" w:cs="Arial"/>
          <w:sz w:val="24"/>
          <w:szCs w:val="24"/>
        </w:rPr>
      </w:pPr>
    </w:p>
    <w:p w:rsidR="009A7C1B" w:rsidRDefault="00C8636F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</w:t>
      </w:r>
      <w:r w:rsidR="009E3B0C">
        <w:rPr>
          <w:rFonts w:ascii="Arial" w:hAnsi="Arial" w:cs="Arial"/>
          <w:sz w:val="24"/>
          <w:szCs w:val="24"/>
        </w:rPr>
        <w:t xml:space="preserve">_______________________________  </w:t>
      </w:r>
      <w:r>
        <w:rPr>
          <w:rFonts w:ascii="Arial" w:hAnsi="Arial" w:cs="Arial"/>
          <w:sz w:val="24"/>
          <w:szCs w:val="24"/>
        </w:rPr>
        <w:t>Empl ID___________</w:t>
      </w:r>
    </w:p>
    <w:p w:rsidR="00C8636F" w:rsidRDefault="00C8636F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 and Reason for Travel__________________________________________</w:t>
      </w:r>
    </w:p>
    <w:p w:rsidR="00C8636F" w:rsidRDefault="00C8636F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636F" w:rsidRDefault="009E3B0C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Departure (Date and Time)______________   Return (Date and Time)______________</w:t>
      </w:r>
    </w:p>
    <w:p w:rsidR="00841677" w:rsidRDefault="002C7EC5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</w:t>
      </w:r>
      <w:r w:rsidR="00674ABA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meals provided by conference:____</w:t>
      </w:r>
      <w:r w:rsidR="00674ABA">
        <w:rPr>
          <w:rFonts w:ascii="Arial" w:hAnsi="Arial" w:cs="Arial"/>
          <w:sz w:val="24"/>
          <w:szCs w:val="24"/>
        </w:rPr>
        <w:t>_____________________________</w:t>
      </w:r>
    </w:p>
    <w:p w:rsidR="002C7EC5" w:rsidRPr="009A7C1B" w:rsidRDefault="002C7EC5" w:rsidP="009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63BB" w:rsidRDefault="00E7246E" w:rsidP="002E373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List of Expenses: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140"/>
      </w:tblGrid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Lodging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Airfare (if purchased by traveler)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Rental car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Registration fees (if paid for by traveler)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Cab fares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Parking</w:t>
            </w:r>
          </w:p>
        </w:tc>
        <w:tc>
          <w:tcPr>
            <w:tcW w:w="4140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E655B" w:rsidTr="00724403">
        <w:tc>
          <w:tcPr>
            <w:tcW w:w="4518" w:type="dxa"/>
          </w:tcPr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0E655B" w:rsidRDefault="000E655B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Personal vehicle mileage (list # of miles)</w:t>
            </w:r>
          </w:p>
        </w:tc>
        <w:tc>
          <w:tcPr>
            <w:tcW w:w="4140" w:type="dxa"/>
          </w:tcPr>
          <w:p w:rsidR="000E655B" w:rsidRDefault="000E655B" w:rsidP="00724403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24403" w:rsidTr="00724403">
        <w:tc>
          <w:tcPr>
            <w:tcW w:w="4518" w:type="dxa"/>
          </w:tcPr>
          <w:p w:rsidR="00724403" w:rsidRDefault="00724403" w:rsidP="002E373F">
            <w:pPr>
              <w:rPr>
                <w:rFonts w:ascii="Arial" w:hAnsi="Arial" w:cs="Arial"/>
                <w:sz w:val="24"/>
                <w:szCs w:val="28"/>
              </w:rPr>
            </w:pPr>
          </w:p>
          <w:p w:rsidR="00724403" w:rsidRDefault="00724403" w:rsidP="002E373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Total</w:t>
            </w:r>
          </w:p>
        </w:tc>
        <w:tc>
          <w:tcPr>
            <w:tcW w:w="4140" w:type="dxa"/>
          </w:tcPr>
          <w:p w:rsidR="00724403" w:rsidRDefault="00724403" w:rsidP="00724403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E7246E" w:rsidRDefault="00E7246E" w:rsidP="002E373F">
      <w:pPr>
        <w:rPr>
          <w:rFonts w:ascii="Arial" w:hAnsi="Arial" w:cs="Arial"/>
          <w:sz w:val="24"/>
          <w:szCs w:val="28"/>
        </w:rPr>
      </w:pPr>
    </w:p>
    <w:p w:rsidR="00724403" w:rsidRDefault="00724403" w:rsidP="002E373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*Per Diem amount will be calculated by departure and arrival dates and times and destination.</w:t>
      </w:r>
    </w:p>
    <w:p w:rsidR="00724403" w:rsidRDefault="00724403" w:rsidP="002E373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Additional Comments:____________________________________________________</w:t>
      </w:r>
    </w:p>
    <w:p w:rsidR="00724403" w:rsidRDefault="00724403" w:rsidP="002E373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</w:t>
      </w:r>
    </w:p>
    <w:p w:rsidR="00724403" w:rsidRPr="00E7246E" w:rsidRDefault="00724403" w:rsidP="002E373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</w:t>
      </w:r>
    </w:p>
    <w:sectPr w:rsidR="00724403" w:rsidRPr="00E7246E" w:rsidSect="0087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6BB"/>
    <w:multiLevelType w:val="hybridMultilevel"/>
    <w:tmpl w:val="D6C85A00"/>
    <w:lvl w:ilvl="0" w:tplc="89F4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3D2E"/>
    <w:multiLevelType w:val="hybridMultilevel"/>
    <w:tmpl w:val="DC8A5CB4"/>
    <w:lvl w:ilvl="0" w:tplc="0112706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B"/>
    <w:rsid w:val="00035BE7"/>
    <w:rsid w:val="00054FFE"/>
    <w:rsid w:val="00086EF0"/>
    <w:rsid w:val="000E655B"/>
    <w:rsid w:val="001249AA"/>
    <w:rsid w:val="001433A5"/>
    <w:rsid w:val="00146E25"/>
    <w:rsid w:val="002116D0"/>
    <w:rsid w:val="002C7EC5"/>
    <w:rsid w:val="002E373F"/>
    <w:rsid w:val="002E4D5D"/>
    <w:rsid w:val="002F729C"/>
    <w:rsid w:val="0031534A"/>
    <w:rsid w:val="0037023D"/>
    <w:rsid w:val="003F75C6"/>
    <w:rsid w:val="00446C01"/>
    <w:rsid w:val="00452735"/>
    <w:rsid w:val="0049522E"/>
    <w:rsid w:val="00556D95"/>
    <w:rsid w:val="0056759F"/>
    <w:rsid w:val="005B45A0"/>
    <w:rsid w:val="0061188F"/>
    <w:rsid w:val="00651802"/>
    <w:rsid w:val="00674ABA"/>
    <w:rsid w:val="00691AC6"/>
    <w:rsid w:val="006D17BA"/>
    <w:rsid w:val="00724403"/>
    <w:rsid w:val="00763EC2"/>
    <w:rsid w:val="00841677"/>
    <w:rsid w:val="00850148"/>
    <w:rsid w:val="00877C1E"/>
    <w:rsid w:val="009039B4"/>
    <w:rsid w:val="009563BB"/>
    <w:rsid w:val="00976BA8"/>
    <w:rsid w:val="00993959"/>
    <w:rsid w:val="009A7C1B"/>
    <w:rsid w:val="009C072D"/>
    <w:rsid w:val="009E3882"/>
    <w:rsid w:val="009E3B0C"/>
    <w:rsid w:val="00A04464"/>
    <w:rsid w:val="00A32757"/>
    <w:rsid w:val="00A71C3E"/>
    <w:rsid w:val="00B33135"/>
    <w:rsid w:val="00BE756B"/>
    <w:rsid w:val="00BF3BAE"/>
    <w:rsid w:val="00C10B09"/>
    <w:rsid w:val="00C8636F"/>
    <w:rsid w:val="00CA483E"/>
    <w:rsid w:val="00CB299C"/>
    <w:rsid w:val="00CB745F"/>
    <w:rsid w:val="00CF6FF6"/>
    <w:rsid w:val="00D4033A"/>
    <w:rsid w:val="00DC43A3"/>
    <w:rsid w:val="00DC6033"/>
    <w:rsid w:val="00E7246E"/>
    <w:rsid w:val="00E85A59"/>
    <w:rsid w:val="00EF5AC6"/>
    <w:rsid w:val="00F02FCE"/>
    <w:rsid w:val="00F35D3E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02"/>
    <w:pPr>
      <w:ind w:left="720"/>
      <w:contextualSpacing/>
    </w:pPr>
  </w:style>
  <w:style w:type="table" w:styleId="TableGrid">
    <w:name w:val="Table Grid"/>
    <w:basedOn w:val="TableNormal"/>
    <w:uiPriority w:val="59"/>
    <w:rsid w:val="002E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02"/>
    <w:pPr>
      <w:ind w:left="720"/>
      <w:contextualSpacing/>
    </w:pPr>
  </w:style>
  <w:style w:type="table" w:styleId="TableGrid">
    <w:name w:val="Table Grid"/>
    <w:basedOn w:val="TableNormal"/>
    <w:uiPriority w:val="59"/>
    <w:rsid w:val="002E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Simon</dc:creator>
  <cp:lastModifiedBy>David Haberman</cp:lastModifiedBy>
  <cp:revision>2</cp:revision>
  <dcterms:created xsi:type="dcterms:W3CDTF">2013-01-10T21:37:00Z</dcterms:created>
  <dcterms:modified xsi:type="dcterms:W3CDTF">2013-01-10T21:37:00Z</dcterms:modified>
</cp:coreProperties>
</file>