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B577" w14:textId="651A99FB" w:rsidR="002D24EF" w:rsidRPr="00A332AC" w:rsidRDefault="001110F3" w:rsidP="008F15FF">
      <w:pPr>
        <w:rPr>
          <w:bCs/>
        </w:rPr>
      </w:pPr>
      <w:r w:rsidRPr="00A332AC">
        <w:rPr>
          <w:b/>
        </w:rPr>
        <w:t>Federal Courts</w:t>
      </w:r>
      <w:r w:rsidR="00FB2DF5" w:rsidRPr="00A332AC">
        <w:rPr>
          <w:b/>
        </w:rPr>
        <w:t xml:space="preserve"> </w:t>
      </w:r>
      <w:r w:rsidR="00105C3D" w:rsidRPr="00A332AC">
        <w:rPr>
          <w:b/>
          <w:bCs/>
        </w:rPr>
        <w:t>(</w:t>
      </w:r>
      <w:r w:rsidR="00747844" w:rsidRPr="00A332AC">
        <w:rPr>
          <w:b/>
          <w:bCs/>
        </w:rPr>
        <w:t xml:space="preserve">LAW </w:t>
      </w:r>
      <w:r w:rsidR="00FB2DF5" w:rsidRPr="00A332AC">
        <w:rPr>
          <w:b/>
          <w:bCs/>
        </w:rPr>
        <w:t>2</w:t>
      </w:r>
      <w:r w:rsidRPr="00A332AC">
        <w:rPr>
          <w:b/>
          <w:bCs/>
        </w:rPr>
        <w:t>67</w:t>
      </w:r>
      <w:r w:rsidR="00105C3D" w:rsidRPr="00A332AC">
        <w:rPr>
          <w:b/>
          <w:bCs/>
        </w:rPr>
        <w:t>)</w:t>
      </w:r>
      <w:r w:rsidR="00105C3D" w:rsidRPr="00A332AC">
        <w:t xml:space="preserve"> – Professor Michael S. McGinniss</w:t>
      </w:r>
      <w:r w:rsidR="00E64791" w:rsidRPr="00A332AC">
        <w:rPr>
          <w:b/>
        </w:rPr>
        <w:t xml:space="preserve"> </w:t>
      </w:r>
    </w:p>
    <w:p w14:paraId="046667B6" w14:textId="0ADFBBCE" w:rsidR="009B78BE" w:rsidRPr="00A332AC" w:rsidRDefault="00E64791" w:rsidP="003316DC">
      <w:pPr>
        <w:spacing w:line="276" w:lineRule="auto"/>
        <w:jc w:val="both"/>
      </w:pPr>
      <w:r w:rsidRPr="00A332AC">
        <w:t xml:space="preserve">The required textbook </w:t>
      </w:r>
      <w:r w:rsidR="00FB2DF5" w:rsidRPr="00A332AC">
        <w:t>(“Text”</w:t>
      </w:r>
      <w:r w:rsidR="00855A9F" w:rsidRPr="00A332AC">
        <w:t xml:space="preserve">) is </w:t>
      </w:r>
      <w:r w:rsidR="00855A9F" w:rsidRPr="00A332AC">
        <w:rPr>
          <w:smallCaps/>
        </w:rPr>
        <w:t>James E. Pfander, Federal Jurisdiction (</w:t>
      </w:r>
      <w:r w:rsidR="00855A9F" w:rsidRPr="00A332AC">
        <w:t>4th ed</w:t>
      </w:r>
      <w:r w:rsidR="00855A9F" w:rsidRPr="00A332AC">
        <w:rPr>
          <w:smallCaps/>
        </w:rPr>
        <w:t xml:space="preserve">. 2021) </w:t>
      </w:r>
      <w:r w:rsidR="00855A9F" w:rsidRPr="00A332AC">
        <w:t xml:space="preserve">(West Academic), and the required Casebook is </w:t>
      </w:r>
      <w:r w:rsidR="00855A9F" w:rsidRPr="00A332AC">
        <w:rPr>
          <w:smallCaps/>
        </w:rPr>
        <w:t xml:space="preserve">Jonathan R. Siegel, Federal Courts: Cases and Materials </w:t>
      </w:r>
      <w:r w:rsidR="00855A9F" w:rsidRPr="00A332AC">
        <w:t>(3rd ed.</w:t>
      </w:r>
      <w:r w:rsidR="00855A9F" w:rsidRPr="00A332AC">
        <w:rPr>
          <w:smallCaps/>
        </w:rPr>
        <w:t xml:space="preserve"> 2023) </w:t>
      </w:r>
      <w:r w:rsidR="00855A9F" w:rsidRPr="00A332AC">
        <w:t>(Aspen Publishing). Bound and electronic editions of both books are available from the publishers.</w:t>
      </w:r>
      <w:r w:rsidR="009B78BE" w:rsidRPr="00A332AC">
        <w:t xml:space="preserve"> In addition, access to the Text is available to students via the Law Library’s subscription to the West Academic Study Aids database</w:t>
      </w:r>
      <w:r w:rsidR="007D7B9F" w:rsidRPr="00A332AC">
        <w:t xml:space="preserve">. </w:t>
      </w:r>
      <w:r w:rsidR="009B78BE" w:rsidRPr="00A332AC">
        <w:t xml:space="preserve">If you need assistance with accessing that database, please </w:t>
      </w:r>
      <w:r w:rsidR="00D8189C" w:rsidRPr="00A332AC">
        <w:t>reach out to either David Haberman (david.haberman@und.edu) or Jon Voigt (jonathan.voight@und.edu) in the Law Library.</w:t>
      </w:r>
    </w:p>
    <w:p w14:paraId="40A85A7E" w14:textId="0630036F" w:rsidR="009B78BE" w:rsidRPr="00A332AC" w:rsidRDefault="009B78BE" w:rsidP="009B78BE">
      <w:pPr>
        <w:spacing w:line="276" w:lineRule="auto"/>
        <w:jc w:val="both"/>
      </w:pPr>
      <w:r w:rsidRPr="00A332AC">
        <w:rPr>
          <w:u w:val="single"/>
        </w:rPr>
        <w:t>You are welcome to use either a print copy or an electronic version of the Text and/or Casebook, as you may prefer</w:t>
      </w:r>
      <w:r w:rsidRPr="00A332AC">
        <w:t>. The final examination for this course will be closed book.</w:t>
      </w:r>
    </w:p>
    <w:p w14:paraId="01976878" w14:textId="130BB787" w:rsidR="00E52DAB" w:rsidRPr="00A332AC" w:rsidRDefault="00C66F69" w:rsidP="0031394E">
      <w:pPr>
        <w:spacing w:after="360" w:line="276" w:lineRule="auto"/>
      </w:pPr>
      <w:r w:rsidRPr="00A332AC">
        <w:t>At about 9:30 am on</w:t>
      </w:r>
      <w:r w:rsidR="00E52DAB" w:rsidRPr="00A332AC">
        <w:t xml:space="preserve"> Wednesday, </w:t>
      </w:r>
      <w:r w:rsidR="001110F3" w:rsidRPr="00A332AC">
        <w:t xml:space="preserve">August </w:t>
      </w:r>
      <w:r w:rsidR="007410DB" w:rsidRPr="00A332AC">
        <w:t>21</w:t>
      </w:r>
      <w:r w:rsidR="00E52DAB" w:rsidRPr="00A332AC">
        <w:t>, via Campus C</w:t>
      </w:r>
      <w:r w:rsidR="0031394E" w:rsidRPr="00A332AC">
        <w:t>onnection,</w:t>
      </w:r>
      <w:r w:rsidR="00E52DAB" w:rsidRPr="00A332AC">
        <w:t xml:space="preserve"> I plan to email to students registered for the course the password for accessing (on TWEN) the Syllabus, </w:t>
      </w:r>
      <w:r w:rsidR="0031394E" w:rsidRPr="00A332AC">
        <w:t xml:space="preserve">certain </w:t>
      </w:r>
      <w:r w:rsidR="001110F3" w:rsidRPr="00A332AC">
        <w:t>materials that will be included along with the Text and Casebook in assigned</w:t>
      </w:r>
      <w:r w:rsidRPr="00A332AC">
        <w:t xml:space="preserve"> </w:t>
      </w:r>
      <w:r w:rsidR="001110F3" w:rsidRPr="00A332AC">
        <w:t>readings</w:t>
      </w:r>
      <w:r w:rsidRPr="00A332AC">
        <w:t xml:space="preserve"> </w:t>
      </w:r>
      <w:r w:rsidR="001110F3" w:rsidRPr="00A332AC">
        <w:t xml:space="preserve">during </w:t>
      </w:r>
      <w:r w:rsidRPr="00A332AC">
        <w:t>the semester</w:t>
      </w:r>
      <w:r w:rsidR="001110F3" w:rsidRPr="00A332AC">
        <w:t>,</w:t>
      </w:r>
      <w:r w:rsidR="00E52DAB" w:rsidRPr="00A332AC">
        <w:t xml:space="preserve"> and other materials of interest</w:t>
      </w:r>
      <w:r w:rsidR="00436C6B" w:rsidRPr="00A332AC">
        <w:t xml:space="preserve">. </w:t>
      </w:r>
      <w:r w:rsidR="00E52DAB" w:rsidRPr="00A332AC">
        <w:t>If you register for the course afte</w:t>
      </w:r>
      <w:r w:rsidRPr="00A332AC">
        <w:t xml:space="preserve">r 9:30 am on </w:t>
      </w:r>
      <w:r w:rsidR="001110F3" w:rsidRPr="00A332AC">
        <w:t xml:space="preserve">August </w:t>
      </w:r>
      <w:r w:rsidR="007410DB" w:rsidRPr="00A332AC">
        <w:t>21</w:t>
      </w:r>
      <w:r w:rsidR="00E52DAB" w:rsidRPr="00A332AC">
        <w:t xml:space="preserve">, please email me at michael.mcginniss@und.edu </w:t>
      </w:r>
      <w:r w:rsidR="00A3681C" w:rsidRPr="00A332AC">
        <w:t xml:space="preserve">(note spelling “ss”) </w:t>
      </w:r>
      <w:r w:rsidR="00E52DAB" w:rsidRPr="00A332AC">
        <w:t>to request the password.</w:t>
      </w:r>
    </w:p>
    <w:p w14:paraId="64AEFF59" w14:textId="77777777" w:rsidR="004A7B77" w:rsidRDefault="00E312EC" w:rsidP="004A7B77">
      <w:pPr>
        <w:spacing w:after="0" w:line="276" w:lineRule="auto"/>
        <w:rPr>
          <w:b/>
          <w:u w:val="single"/>
        </w:rPr>
      </w:pPr>
      <w:r w:rsidRPr="00A332AC">
        <w:rPr>
          <w:b/>
          <w:u w:val="single"/>
        </w:rPr>
        <w:t>Class 1</w:t>
      </w:r>
    </w:p>
    <w:p w14:paraId="4129A240" w14:textId="6237B7BB" w:rsidR="00E312EC" w:rsidRPr="004A7B77" w:rsidRDefault="00E312EC" w:rsidP="0031394E">
      <w:pPr>
        <w:spacing w:after="120" w:line="276" w:lineRule="auto"/>
        <w:rPr>
          <w:b/>
        </w:rPr>
      </w:pPr>
      <w:r w:rsidRPr="00A332AC">
        <w:rPr>
          <w:b/>
          <w:u w:val="single"/>
        </w:rPr>
        <w:t>Tuesday, August 2</w:t>
      </w:r>
      <w:r w:rsidR="007410DB" w:rsidRPr="00A332AC">
        <w:rPr>
          <w:b/>
          <w:u w:val="single"/>
        </w:rPr>
        <w:t>7</w:t>
      </w:r>
      <w:r w:rsidR="004A7B77">
        <w:tab/>
      </w:r>
      <w:r w:rsidR="004A7B77">
        <w:tab/>
      </w:r>
      <w:r w:rsidR="004A7B77">
        <w:tab/>
      </w:r>
      <w:r w:rsidR="004A7B77">
        <w:tab/>
      </w:r>
      <w:r w:rsidR="004A7B77">
        <w:tab/>
      </w:r>
      <w:r w:rsidR="00436C6B">
        <w:tab/>
      </w:r>
      <w:r w:rsidR="00436C6B" w:rsidRPr="00A332AC">
        <w:rPr>
          <w:u w:val="single"/>
        </w:rPr>
        <w:t>Text</w:t>
      </w:r>
      <w:r w:rsidR="00436C6B" w:rsidRPr="00A332AC">
        <w:t>: 15-26</w:t>
      </w:r>
      <w:r w:rsidR="00436C6B" w:rsidRPr="00A332AC">
        <w:rPr>
          <w:b/>
        </w:rPr>
        <w:tab/>
      </w:r>
    </w:p>
    <w:p w14:paraId="0CAED2DD" w14:textId="702E2604" w:rsidR="00E312EC" w:rsidRPr="00A332AC" w:rsidRDefault="00E312EC" w:rsidP="00855A9F">
      <w:pPr>
        <w:tabs>
          <w:tab w:val="left" w:pos="6480"/>
        </w:tabs>
        <w:spacing w:after="0" w:line="276" w:lineRule="auto"/>
        <w:jc w:val="both"/>
      </w:pPr>
      <w:r w:rsidRPr="00A332AC">
        <w:rPr>
          <w:b/>
        </w:rPr>
        <w:t xml:space="preserve">The Nature of the Judicial Function  </w:t>
      </w:r>
      <w:r w:rsidR="004A7B77">
        <w:rPr>
          <w:b/>
        </w:rPr>
        <w:t xml:space="preserve">                                </w:t>
      </w:r>
      <w:r w:rsidR="00436C6B">
        <w:rPr>
          <w:b/>
        </w:rPr>
        <w:t xml:space="preserve"> </w:t>
      </w:r>
      <w:r w:rsidR="00436C6B" w:rsidRPr="00A332AC">
        <w:rPr>
          <w:u w:val="single"/>
        </w:rPr>
        <w:t>Casebook</w:t>
      </w:r>
      <w:r w:rsidR="00436C6B" w:rsidRPr="00A332AC">
        <w:t>: 3-23</w:t>
      </w:r>
    </w:p>
    <w:p w14:paraId="29DC3158" w14:textId="522B804F" w:rsidR="00E312EC" w:rsidRPr="00A332AC" w:rsidRDefault="00E312EC" w:rsidP="00855A9F">
      <w:pPr>
        <w:spacing w:after="0" w:line="276" w:lineRule="auto"/>
      </w:pPr>
      <w:r w:rsidRPr="00A332AC">
        <w:t>Judicial Review and Its Justification;</w:t>
      </w:r>
      <w:r w:rsidRPr="00A332AC">
        <w:tab/>
      </w:r>
      <w:r w:rsidRPr="00A332AC">
        <w:tab/>
      </w:r>
      <w:r w:rsidRPr="00A332AC">
        <w:tab/>
      </w:r>
      <w:r w:rsidR="004A7B77">
        <w:t xml:space="preserve">           </w:t>
      </w:r>
    </w:p>
    <w:p w14:paraId="7F5DB443" w14:textId="77777777" w:rsidR="00E312EC" w:rsidRPr="00A332AC" w:rsidRDefault="00E312EC" w:rsidP="00855A9F">
      <w:pPr>
        <w:spacing w:after="0" w:line="276" w:lineRule="auto"/>
        <w:rPr>
          <w:u w:val="single"/>
        </w:rPr>
      </w:pPr>
      <w:r w:rsidRPr="00A332AC">
        <w:t xml:space="preserve">   the “Private Rights”-“Public Rights” Dichotomy  </w:t>
      </w:r>
      <w:r w:rsidRPr="00A332AC">
        <w:tab/>
      </w:r>
      <w:r w:rsidRPr="00A332AC">
        <w:tab/>
        <w:t xml:space="preserve">          </w:t>
      </w:r>
    </w:p>
    <w:p w14:paraId="48D9707D" w14:textId="77777777" w:rsidR="00E312EC" w:rsidRPr="00A332AC" w:rsidRDefault="00E312EC" w:rsidP="00855A9F">
      <w:pPr>
        <w:spacing w:after="0" w:line="276" w:lineRule="auto"/>
      </w:pPr>
    </w:p>
    <w:p w14:paraId="072D8F16" w14:textId="77777777" w:rsidR="004A7B77" w:rsidRDefault="00E312EC" w:rsidP="004A7B77">
      <w:pPr>
        <w:spacing w:after="0" w:line="276" w:lineRule="auto"/>
        <w:rPr>
          <w:b/>
          <w:u w:val="single"/>
        </w:rPr>
      </w:pPr>
      <w:r w:rsidRPr="00A332AC">
        <w:rPr>
          <w:b/>
          <w:u w:val="single"/>
        </w:rPr>
        <w:t>Class 2</w:t>
      </w:r>
    </w:p>
    <w:p w14:paraId="58BD58E1" w14:textId="3F117EE6" w:rsidR="00E312EC" w:rsidRPr="00436C6B" w:rsidRDefault="00E312EC" w:rsidP="00436C6B">
      <w:pPr>
        <w:spacing w:after="120" w:line="276" w:lineRule="auto"/>
        <w:rPr>
          <w:bCs/>
          <w:u w:val="single"/>
        </w:rPr>
      </w:pPr>
      <w:r w:rsidRPr="00A332AC">
        <w:rPr>
          <w:b/>
          <w:u w:val="single"/>
        </w:rPr>
        <w:t xml:space="preserve">Thursday, August </w:t>
      </w:r>
      <w:r w:rsidR="007410DB" w:rsidRPr="00A332AC">
        <w:rPr>
          <w:b/>
          <w:u w:val="single"/>
        </w:rPr>
        <w:t>29</w:t>
      </w:r>
      <w:r w:rsidR="00436C6B">
        <w:rPr>
          <w:bCs/>
        </w:rPr>
        <w:tab/>
      </w:r>
      <w:r w:rsidR="00436C6B">
        <w:rPr>
          <w:bCs/>
        </w:rPr>
        <w:tab/>
      </w:r>
      <w:r w:rsidR="00436C6B">
        <w:rPr>
          <w:bCs/>
        </w:rPr>
        <w:tab/>
      </w:r>
      <w:r w:rsidR="00436C6B">
        <w:rPr>
          <w:bCs/>
        </w:rPr>
        <w:tab/>
      </w:r>
      <w:r w:rsidR="00436C6B">
        <w:rPr>
          <w:bCs/>
        </w:rPr>
        <w:tab/>
      </w:r>
      <w:r w:rsidR="00436C6B">
        <w:rPr>
          <w:bCs/>
        </w:rPr>
        <w:tab/>
      </w:r>
      <w:r w:rsidR="00436C6B" w:rsidRPr="00A332AC">
        <w:rPr>
          <w:u w:val="single"/>
        </w:rPr>
        <w:t>Text</w:t>
      </w:r>
      <w:r w:rsidR="00436C6B" w:rsidRPr="00A332AC">
        <w:t>: 36-43</w:t>
      </w:r>
    </w:p>
    <w:p w14:paraId="05608B7B" w14:textId="0C413C27" w:rsidR="00E312EC" w:rsidRPr="00A332AC" w:rsidRDefault="00E312EC" w:rsidP="00855A9F">
      <w:pPr>
        <w:spacing w:after="0" w:line="276" w:lineRule="auto"/>
        <w:rPr>
          <w:bCs/>
          <w:u w:val="single"/>
        </w:rPr>
      </w:pPr>
      <w:r w:rsidRPr="00A332AC">
        <w:rPr>
          <w:b/>
        </w:rPr>
        <w:t>Justiciability: Standing to Sue</w:t>
      </w:r>
      <w:r w:rsidRPr="00A332AC">
        <w:rPr>
          <w:b/>
        </w:rPr>
        <w:tab/>
      </w:r>
      <w:r w:rsidRPr="00A332AC">
        <w:rPr>
          <w:b/>
        </w:rPr>
        <w:tab/>
      </w:r>
      <w:r w:rsidRPr="00A332AC">
        <w:rPr>
          <w:b/>
        </w:rPr>
        <w:tab/>
      </w:r>
      <w:r w:rsidRPr="00A332AC">
        <w:rPr>
          <w:b/>
        </w:rPr>
        <w:tab/>
      </w:r>
      <w:r w:rsidR="00436C6B" w:rsidRPr="00A332AC">
        <w:rPr>
          <w:u w:val="single"/>
        </w:rPr>
        <w:t>Casebook</w:t>
      </w:r>
      <w:r w:rsidR="00436C6B" w:rsidRPr="00A332AC">
        <w:t>: 40-64;</w:t>
      </w:r>
      <w:r w:rsidR="00436C6B">
        <w:t xml:space="preserve"> </w:t>
      </w:r>
    </w:p>
    <w:p w14:paraId="6E5D6662" w14:textId="77777777" w:rsidR="00436C6B" w:rsidRPr="00A332AC" w:rsidRDefault="00E312EC" w:rsidP="00436C6B">
      <w:pPr>
        <w:spacing w:after="0" w:line="276" w:lineRule="auto"/>
        <w:rPr>
          <w:bCs/>
        </w:rPr>
      </w:pPr>
      <w:r w:rsidRPr="00A332AC">
        <w:t>Foundations of Standing Doctrine;</w:t>
      </w:r>
      <w:r w:rsidRPr="00A332AC">
        <w:rPr>
          <w:b/>
        </w:rPr>
        <w:tab/>
      </w:r>
      <w:r w:rsidRPr="00A332AC">
        <w:rPr>
          <w:b/>
        </w:rPr>
        <w:tab/>
      </w:r>
      <w:r w:rsidRPr="00A332AC">
        <w:rPr>
          <w:b/>
        </w:rPr>
        <w:tab/>
      </w:r>
      <w:r w:rsidRPr="00A332AC">
        <w:rPr>
          <w:b/>
        </w:rPr>
        <w:tab/>
      </w:r>
      <w:r w:rsidR="00436C6B" w:rsidRPr="00A332AC">
        <w:t>Prob. 2-6 to 2-9 (p. 64)</w:t>
      </w:r>
    </w:p>
    <w:p w14:paraId="4A55E27F" w14:textId="22720BF3" w:rsidR="00E312EC" w:rsidRPr="00A332AC" w:rsidRDefault="00E312EC" w:rsidP="00855A9F">
      <w:pPr>
        <w:spacing w:after="0" w:line="276" w:lineRule="auto"/>
        <w:rPr>
          <w:bCs/>
        </w:rPr>
      </w:pPr>
      <w:r w:rsidRPr="00A332AC">
        <w:t>Requirement of Injury</w:t>
      </w:r>
      <w:r w:rsidRPr="00A332AC">
        <w:rPr>
          <w:b/>
        </w:rPr>
        <w:tab/>
      </w:r>
      <w:r w:rsidRPr="00A332AC">
        <w:rPr>
          <w:b/>
        </w:rPr>
        <w:tab/>
        <w:t xml:space="preserve">    </w:t>
      </w:r>
      <w:r w:rsidRPr="00A332AC">
        <w:rPr>
          <w:b/>
        </w:rPr>
        <w:tab/>
      </w:r>
      <w:r w:rsidRPr="00A332AC">
        <w:rPr>
          <w:b/>
        </w:rPr>
        <w:tab/>
      </w:r>
      <w:r w:rsidRPr="00A332AC">
        <w:rPr>
          <w:b/>
        </w:rPr>
        <w:tab/>
      </w:r>
      <w:r w:rsidRPr="00A332AC">
        <w:rPr>
          <w:b/>
        </w:rPr>
        <w:tab/>
      </w:r>
    </w:p>
    <w:p w14:paraId="247779E8" w14:textId="70E1A86A" w:rsidR="004A7B77" w:rsidRPr="004A7B77" w:rsidRDefault="004A7B77" w:rsidP="004A7B77">
      <w:pPr>
        <w:spacing w:after="0"/>
        <w:rPr>
          <w:bCs/>
        </w:rPr>
      </w:pPr>
    </w:p>
    <w:sectPr w:rsidR="004A7B77" w:rsidRPr="004A7B77" w:rsidSect="00173619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C1C72" w14:textId="77777777" w:rsidR="00337099" w:rsidRDefault="00337099" w:rsidP="00173619">
      <w:pPr>
        <w:spacing w:after="0" w:line="240" w:lineRule="auto"/>
      </w:pPr>
      <w:r>
        <w:separator/>
      </w:r>
    </w:p>
  </w:endnote>
  <w:endnote w:type="continuationSeparator" w:id="0">
    <w:p w14:paraId="4413B234" w14:textId="77777777" w:rsidR="00337099" w:rsidRDefault="00337099" w:rsidP="0017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3823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17A8E" w14:textId="77777777" w:rsidR="00950316" w:rsidRDefault="009503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79525" w14:textId="77777777" w:rsidR="00950316" w:rsidRDefault="00950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15DB" w14:textId="77777777" w:rsidR="00337099" w:rsidRDefault="00337099" w:rsidP="00173619">
      <w:pPr>
        <w:spacing w:after="0" w:line="240" w:lineRule="auto"/>
      </w:pPr>
      <w:r>
        <w:separator/>
      </w:r>
    </w:p>
  </w:footnote>
  <w:footnote w:type="continuationSeparator" w:id="0">
    <w:p w14:paraId="02A25CAF" w14:textId="77777777" w:rsidR="00337099" w:rsidRDefault="00337099" w:rsidP="0017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91"/>
    <w:rsid w:val="00036495"/>
    <w:rsid w:val="00054048"/>
    <w:rsid w:val="000618C0"/>
    <w:rsid w:val="00083F7F"/>
    <w:rsid w:val="00087030"/>
    <w:rsid w:val="00090DDB"/>
    <w:rsid w:val="000C4F08"/>
    <w:rsid w:val="000D0618"/>
    <w:rsid w:val="000E1D4B"/>
    <w:rsid w:val="000E4A7A"/>
    <w:rsid w:val="000F0B23"/>
    <w:rsid w:val="00105C3D"/>
    <w:rsid w:val="001110F3"/>
    <w:rsid w:val="00112289"/>
    <w:rsid w:val="00141642"/>
    <w:rsid w:val="00173619"/>
    <w:rsid w:val="001A2E3F"/>
    <w:rsid w:val="001E3CFC"/>
    <w:rsid w:val="001F2E9B"/>
    <w:rsid w:val="00206243"/>
    <w:rsid w:val="002078FC"/>
    <w:rsid w:val="002411B4"/>
    <w:rsid w:val="0028594C"/>
    <w:rsid w:val="002A231B"/>
    <w:rsid w:val="002D24EF"/>
    <w:rsid w:val="00307863"/>
    <w:rsid w:val="0031394E"/>
    <w:rsid w:val="00330A95"/>
    <w:rsid w:val="003316DC"/>
    <w:rsid w:val="00337099"/>
    <w:rsid w:val="003F408C"/>
    <w:rsid w:val="00422954"/>
    <w:rsid w:val="00426205"/>
    <w:rsid w:val="00436C6B"/>
    <w:rsid w:val="00480D78"/>
    <w:rsid w:val="00481379"/>
    <w:rsid w:val="004A7B77"/>
    <w:rsid w:val="00566666"/>
    <w:rsid w:val="005B12A9"/>
    <w:rsid w:val="00626346"/>
    <w:rsid w:val="00657889"/>
    <w:rsid w:val="00717EB4"/>
    <w:rsid w:val="007410DB"/>
    <w:rsid w:val="00747844"/>
    <w:rsid w:val="007709C5"/>
    <w:rsid w:val="007D7B9F"/>
    <w:rsid w:val="00814828"/>
    <w:rsid w:val="00855A9F"/>
    <w:rsid w:val="008A7B0C"/>
    <w:rsid w:val="008C28EC"/>
    <w:rsid w:val="008E0087"/>
    <w:rsid w:val="008F15FF"/>
    <w:rsid w:val="00950316"/>
    <w:rsid w:val="009A355A"/>
    <w:rsid w:val="009B78BE"/>
    <w:rsid w:val="009D29F5"/>
    <w:rsid w:val="009E4378"/>
    <w:rsid w:val="00A332AC"/>
    <w:rsid w:val="00A3681C"/>
    <w:rsid w:val="00A4108B"/>
    <w:rsid w:val="00A41A62"/>
    <w:rsid w:val="00A91E04"/>
    <w:rsid w:val="00BE70DB"/>
    <w:rsid w:val="00C037A9"/>
    <w:rsid w:val="00C66F69"/>
    <w:rsid w:val="00C938B1"/>
    <w:rsid w:val="00D13F67"/>
    <w:rsid w:val="00D8189C"/>
    <w:rsid w:val="00D929C1"/>
    <w:rsid w:val="00DA5C69"/>
    <w:rsid w:val="00DD61E4"/>
    <w:rsid w:val="00DF6D22"/>
    <w:rsid w:val="00E0763F"/>
    <w:rsid w:val="00E11F94"/>
    <w:rsid w:val="00E312EC"/>
    <w:rsid w:val="00E52DAB"/>
    <w:rsid w:val="00E64791"/>
    <w:rsid w:val="00E80521"/>
    <w:rsid w:val="00EB60E2"/>
    <w:rsid w:val="00ED4B89"/>
    <w:rsid w:val="00F06139"/>
    <w:rsid w:val="00F52B14"/>
    <w:rsid w:val="00FA0262"/>
    <w:rsid w:val="00FA4BBE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F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479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19"/>
  </w:style>
  <w:style w:type="paragraph" w:styleId="Footer">
    <w:name w:val="footer"/>
    <w:basedOn w:val="Normal"/>
    <w:link w:val="FooterChar"/>
    <w:uiPriority w:val="99"/>
    <w:unhideWhenUsed/>
    <w:rsid w:val="0017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19"/>
  </w:style>
  <w:style w:type="paragraph" w:styleId="BalloonText">
    <w:name w:val="Balloon Text"/>
    <w:basedOn w:val="Normal"/>
    <w:link w:val="BalloonTextChar"/>
    <w:uiPriority w:val="99"/>
    <w:semiHidden/>
    <w:unhideWhenUsed/>
    <w:rsid w:val="0062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2024-08-06T20:56:00Z</dcterms:created>
  <dcterms:modified xsi:type="dcterms:W3CDTF">2024-08-09T16:05:00Z</dcterms:modified>
</cp:coreProperties>
</file>