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F85B" w14:textId="3F6BCD56" w:rsidR="00FD1856" w:rsidRDefault="00261D91" w:rsidP="00FD1856">
      <w:pPr>
        <w:jc w:val="center"/>
        <w:rPr>
          <w:b/>
          <w:bCs/>
          <w:sz w:val="32"/>
          <w:szCs w:val="32"/>
        </w:rPr>
      </w:pPr>
      <w:r w:rsidRPr="00261D91">
        <w:rPr>
          <w:noProof/>
        </w:rPr>
        <w:drawing>
          <wp:inline distT="0" distB="0" distL="0" distR="0" wp14:anchorId="16FA8D45" wp14:editId="2A9D3721">
            <wp:extent cx="2335427" cy="555376"/>
            <wp:effectExtent l="0" t="0" r="1905" b="3810"/>
            <wp:docPr id="546596102" name="Picture 1" descr="A green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96102" name="Picture 1" descr="A green line with black text&#10;&#10;Description automatically generated"/>
                    <pic:cNvPicPr/>
                  </pic:nvPicPr>
                  <pic:blipFill>
                    <a:blip r:embed="rId7"/>
                    <a:stretch>
                      <a:fillRect/>
                    </a:stretch>
                  </pic:blipFill>
                  <pic:spPr>
                    <a:xfrm>
                      <a:off x="0" y="0"/>
                      <a:ext cx="2364404" cy="562267"/>
                    </a:xfrm>
                    <a:prstGeom prst="rect">
                      <a:avLst/>
                    </a:prstGeom>
                  </pic:spPr>
                </pic:pic>
              </a:graphicData>
            </a:graphic>
          </wp:inline>
        </w:drawing>
      </w:r>
      <w:r w:rsidRPr="00261D91">
        <w:rPr>
          <w:noProof/>
        </w:rPr>
        <w:t xml:space="preserve"> </w:t>
      </w:r>
      <w:r>
        <w:rPr>
          <w:noProof/>
        </w:rPr>
        <w:tab/>
      </w:r>
      <w:r>
        <w:rPr>
          <w:noProof/>
        </w:rPr>
        <w:tab/>
      </w:r>
      <w:r>
        <w:rPr>
          <w:noProof/>
        </w:rPr>
        <w:tab/>
      </w:r>
      <w:r w:rsidRPr="00261D91">
        <w:rPr>
          <w:b/>
          <w:bCs/>
          <w:noProof/>
          <w:sz w:val="32"/>
          <w:szCs w:val="32"/>
        </w:rPr>
        <w:drawing>
          <wp:inline distT="0" distB="0" distL="0" distR="0" wp14:anchorId="340FA551" wp14:editId="703250E8">
            <wp:extent cx="2282836" cy="555419"/>
            <wp:effectExtent l="0" t="0" r="3175" b="3810"/>
            <wp:docPr id="15" name="Picture 14" descr="A black background with blue text&#10;&#10;Description automatically generated">
              <a:extLst xmlns:a="http://schemas.openxmlformats.org/drawingml/2006/main">
                <a:ext uri="{FF2B5EF4-FFF2-40B4-BE49-F238E27FC236}">
                  <a16:creationId xmlns:a16="http://schemas.microsoft.com/office/drawing/2014/main" id="{46E36933-6223-4B43-943D-F4DAFCC79792}"/>
                </a:ext>
              </a:extLst>
            </wp:docPr>
            <wp:cNvGraphicFramePr/>
            <a:graphic xmlns:a="http://schemas.openxmlformats.org/drawingml/2006/main">
              <a:graphicData uri="http://schemas.openxmlformats.org/drawingml/2006/picture">
                <pic:pic xmlns:pic="http://schemas.openxmlformats.org/drawingml/2006/picture">
                  <pic:nvPicPr>
                    <pic:cNvPr id="15" name="Picture 14" descr="A black background with blue text&#10;&#10;Description automatically generated">
                      <a:extLst>
                        <a:ext uri="{FF2B5EF4-FFF2-40B4-BE49-F238E27FC236}">
                          <a16:creationId xmlns:a16="http://schemas.microsoft.com/office/drawing/2014/main" id="{46E36933-6223-4B43-943D-F4DAFCC79792}"/>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492227" cy="606364"/>
                    </a:xfrm>
                    <a:prstGeom prst="rect">
                      <a:avLst/>
                    </a:prstGeom>
                  </pic:spPr>
                </pic:pic>
              </a:graphicData>
            </a:graphic>
          </wp:inline>
        </w:drawing>
      </w:r>
    </w:p>
    <w:p w14:paraId="19A87E7C" w14:textId="77777777" w:rsidR="00261D91" w:rsidRDefault="00261D91" w:rsidP="00FD1856">
      <w:pPr>
        <w:jc w:val="center"/>
        <w:rPr>
          <w:b/>
          <w:bCs/>
          <w:color w:val="C00000"/>
          <w:sz w:val="32"/>
          <w:szCs w:val="32"/>
        </w:rPr>
      </w:pPr>
    </w:p>
    <w:p w14:paraId="1D87688B" w14:textId="25B130C3" w:rsidR="00FD1856" w:rsidRPr="00424460" w:rsidRDefault="00FD1856" w:rsidP="00FD1856">
      <w:pPr>
        <w:jc w:val="center"/>
        <w:rPr>
          <w:b/>
          <w:bCs/>
          <w:color w:val="C00000"/>
        </w:rPr>
      </w:pPr>
      <w:r w:rsidRPr="00424460">
        <w:rPr>
          <w:b/>
          <w:bCs/>
          <w:color w:val="C00000"/>
          <w:sz w:val="32"/>
          <w:szCs w:val="32"/>
        </w:rPr>
        <w:t>Emerging Issues in Tribal Courts</w:t>
      </w:r>
      <w:r w:rsidRPr="00424460">
        <w:rPr>
          <w:b/>
          <w:bCs/>
          <w:color w:val="C00000"/>
        </w:rPr>
        <w:br/>
        <w:t xml:space="preserve">“Enhancing Tribal Justice Systems and Supporting Tribal </w:t>
      </w:r>
      <w:r w:rsidR="00424460" w:rsidRPr="00424460">
        <w:rPr>
          <w:b/>
          <w:bCs/>
          <w:color w:val="C00000"/>
        </w:rPr>
        <w:t>Sovereignty.</w:t>
      </w:r>
      <w:r w:rsidRPr="00424460">
        <w:rPr>
          <w:b/>
          <w:bCs/>
          <w:color w:val="C00000"/>
        </w:rPr>
        <w:t>”</w:t>
      </w:r>
    </w:p>
    <w:p w14:paraId="6EC259C9" w14:textId="77777777" w:rsidR="00FD1856" w:rsidRDefault="00FD1856" w:rsidP="00FD1856">
      <w:pPr>
        <w:jc w:val="center"/>
        <w:rPr>
          <w:b/>
          <w:bCs/>
        </w:rPr>
      </w:pPr>
    </w:p>
    <w:p w14:paraId="373F5C21" w14:textId="65C9A112" w:rsidR="00FD1856" w:rsidRPr="006C0BF4" w:rsidRDefault="00FD1856" w:rsidP="00FD1856">
      <w:pPr>
        <w:jc w:val="center"/>
      </w:pPr>
      <w:r w:rsidRPr="006C0BF4">
        <w:rPr>
          <w:b/>
          <w:bCs/>
        </w:rPr>
        <w:t>Jan</w:t>
      </w:r>
      <w:r w:rsidR="00083C90">
        <w:rPr>
          <w:b/>
          <w:bCs/>
        </w:rPr>
        <w:t>uary</w:t>
      </w:r>
      <w:r w:rsidRPr="006C0BF4">
        <w:rPr>
          <w:b/>
          <w:bCs/>
        </w:rPr>
        <w:t xml:space="preserve"> 11-12, 2024</w:t>
      </w:r>
    </w:p>
    <w:p w14:paraId="14BE3DE6" w14:textId="175B1942" w:rsidR="00FD1856" w:rsidRPr="006C0BF4" w:rsidRDefault="00FD1856" w:rsidP="00FD1856">
      <w:pPr>
        <w:jc w:val="center"/>
      </w:pPr>
      <w:r w:rsidRPr="006C0BF4">
        <w:rPr>
          <w:b/>
          <w:bCs/>
        </w:rPr>
        <w:t xml:space="preserve">Seattle, Washington </w:t>
      </w:r>
    </w:p>
    <w:p w14:paraId="61596736" w14:textId="77777777" w:rsidR="00FD1856" w:rsidRDefault="00FD1856" w:rsidP="00FD1856"/>
    <w:p w14:paraId="3DD96779" w14:textId="77777777" w:rsidR="00FD1856" w:rsidRPr="006C0BF4" w:rsidRDefault="00FD1856" w:rsidP="00FD1856">
      <w:r w:rsidRPr="006C0BF4">
        <w:t xml:space="preserve">The </w:t>
      </w:r>
      <w:r>
        <w:t>E</w:t>
      </w:r>
      <w:r w:rsidRPr="006C0BF4">
        <w:t xml:space="preserve">merging </w:t>
      </w:r>
      <w:r>
        <w:t>I</w:t>
      </w:r>
      <w:r w:rsidRPr="006C0BF4">
        <w:t>ssues conference will provide tribal justice system officials with recent legal updates impacting tribal courts and tribal justice systems and strategies to improve tribal court operations within tribal justice systems.  Some of the topics that will be addressed at this conference will include:</w:t>
      </w:r>
    </w:p>
    <w:p w14:paraId="5863532A" w14:textId="77777777" w:rsidR="002720C0" w:rsidRPr="006C0BF4" w:rsidRDefault="00000000" w:rsidP="00FD1856">
      <w:pPr>
        <w:numPr>
          <w:ilvl w:val="0"/>
          <w:numId w:val="1"/>
        </w:numPr>
      </w:pPr>
      <w:r w:rsidRPr="006C0BF4">
        <w:t>Impact of </w:t>
      </w:r>
      <w:proofErr w:type="spellStart"/>
      <w:r w:rsidRPr="006C0BF4">
        <w:rPr>
          <w:i/>
          <w:iCs/>
        </w:rPr>
        <w:t>Haaland</w:t>
      </w:r>
      <w:proofErr w:type="spellEnd"/>
      <w:r w:rsidRPr="006C0BF4">
        <w:rPr>
          <w:i/>
          <w:iCs/>
        </w:rPr>
        <w:t xml:space="preserve"> v </w:t>
      </w:r>
      <w:proofErr w:type="spellStart"/>
      <w:r w:rsidRPr="006C0BF4">
        <w:rPr>
          <w:i/>
          <w:iCs/>
        </w:rPr>
        <w:t>Brackeen</w:t>
      </w:r>
      <w:proofErr w:type="spellEnd"/>
      <w:r w:rsidRPr="006C0BF4">
        <w:t> on tribal courts and tribal justice systems.</w:t>
      </w:r>
    </w:p>
    <w:p w14:paraId="757A53A9" w14:textId="77777777" w:rsidR="002720C0" w:rsidRPr="006C0BF4" w:rsidRDefault="00000000" w:rsidP="00FD1856">
      <w:pPr>
        <w:numPr>
          <w:ilvl w:val="0"/>
          <w:numId w:val="1"/>
        </w:numPr>
      </w:pPr>
      <w:r w:rsidRPr="006C0BF4">
        <w:t>Criminal jurisdiction updates to include and examination of </w:t>
      </w:r>
      <w:r w:rsidRPr="006C0BF4">
        <w:rPr>
          <w:i/>
          <w:iCs/>
        </w:rPr>
        <w:t>Oklahoma v. Castro-Huerta</w:t>
      </w:r>
      <w:r w:rsidRPr="006C0BF4">
        <w:t> and </w:t>
      </w:r>
      <w:r w:rsidRPr="006C0BF4">
        <w:rPr>
          <w:i/>
          <w:iCs/>
        </w:rPr>
        <w:t>United States v. Cooley.</w:t>
      </w:r>
    </w:p>
    <w:p w14:paraId="70E87FB0" w14:textId="77777777" w:rsidR="002720C0" w:rsidRPr="006C0BF4" w:rsidRDefault="00000000" w:rsidP="00FD1856">
      <w:pPr>
        <w:numPr>
          <w:ilvl w:val="0"/>
          <w:numId w:val="1"/>
        </w:numPr>
      </w:pPr>
      <w:r w:rsidRPr="006C0BF4">
        <w:t>Separation of powers for tribal justice systems.</w:t>
      </w:r>
    </w:p>
    <w:p w14:paraId="22778889" w14:textId="62BF16AF" w:rsidR="002720C0" w:rsidRPr="006C0BF4" w:rsidRDefault="00000000" w:rsidP="00FD1856">
      <w:pPr>
        <w:numPr>
          <w:ilvl w:val="0"/>
          <w:numId w:val="1"/>
        </w:numPr>
      </w:pPr>
      <w:r w:rsidRPr="006C0BF4">
        <w:t xml:space="preserve">Substance </w:t>
      </w:r>
      <w:r w:rsidR="00B20917">
        <w:t>misuse</w:t>
      </w:r>
      <w:r w:rsidRPr="006C0BF4">
        <w:t xml:space="preserve"> treatment modalities.</w:t>
      </w:r>
    </w:p>
    <w:p w14:paraId="5EBDC483" w14:textId="77777777" w:rsidR="002720C0" w:rsidRPr="006C0BF4" w:rsidRDefault="00000000" w:rsidP="00FD1856">
      <w:pPr>
        <w:numPr>
          <w:ilvl w:val="0"/>
          <w:numId w:val="1"/>
        </w:numPr>
      </w:pPr>
      <w:r w:rsidRPr="006C0BF4">
        <w:t>Improving interactions between tribal justice programs and the community.</w:t>
      </w:r>
    </w:p>
    <w:p w14:paraId="3128C024" w14:textId="77777777" w:rsidR="002720C0" w:rsidRPr="006C0BF4" w:rsidRDefault="00000000" w:rsidP="00FD1856">
      <w:pPr>
        <w:numPr>
          <w:ilvl w:val="0"/>
          <w:numId w:val="1"/>
        </w:numPr>
      </w:pPr>
      <w:r w:rsidRPr="006C0BF4">
        <w:t>Effective court administration and operations.</w:t>
      </w:r>
    </w:p>
    <w:p w14:paraId="035FE3CC" w14:textId="77777777" w:rsidR="00FD1856" w:rsidRDefault="00FD1856" w:rsidP="00FD1856"/>
    <w:p w14:paraId="10B2BDDD" w14:textId="77777777" w:rsidR="00FD1856" w:rsidRPr="0081245A" w:rsidRDefault="00FD1856" w:rsidP="00FD1856">
      <w:pPr>
        <w:rPr>
          <w:b/>
          <w:bCs/>
        </w:rPr>
      </w:pPr>
      <w:r>
        <w:rPr>
          <w:b/>
          <w:bCs/>
        </w:rPr>
        <w:t>Who should Attend?</w:t>
      </w:r>
    </w:p>
    <w:p w14:paraId="342A75F7" w14:textId="694917E4" w:rsidR="00FD1856" w:rsidRPr="0081245A" w:rsidRDefault="00FD1856" w:rsidP="00FD1856">
      <w:pPr>
        <w:pStyle w:val="ListParagraph"/>
        <w:numPr>
          <w:ilvl w:val="0"/>
          <w:numId w:val="2"/>
        </w:numPr>
      </w:pPr>
      <w:r>
        <w:t>Affiliates of federally recognized tribes working in tribal justice systems including t</w:t>
      </w:r>
      <w:r w:rsidRPr="0081245A">
        <w:t xml:space="preserve">ribal </w:t>
      </w:r>
      <w:r>
        <w:t>l</w:t>
      </w:r>
      <w:r w:rsidRPr="0081245A">
        <w:t>eaders</w:t>
      </w:r>
      <w:r>
        <w:t>, t</w:t>
      </w:r>
      <w:r w:rsidRPr="0081245A">
        <w:t xml:space="preserve">ribal </w:t>
      </w:r>
      <w:r>
        <w:t>c</w:t>
      </w:r>
      <w:r w:rsidRPr="0081245A">
        <w:t xml:space="preserve">ourt </w:t>
      </w:r>
      <w:r>
        <w:t>j</w:t>
      </w:r>
      <w:r w:rsidRPr="0081245A">
        <w:t>udges</w:t>
      </w:r>
      <w:r>
        <w:t>, t</w:t>
      </w:r>
      <w:r w:rsidRPr="0081245A">
        <w:t xml:space="preserve">ribal </w:t>
      </w:r>
      <w:r>
        <w:t>c</w:t>
      </w:r>
      <w:r w:rsidRPr="0081245A">
        <w:t xml:space="preserve">ourt </w:t>
      </w:r>
      <w:r>
        <w:t>cl</w:t>
      </w:r>
      <w:r w:rsidRPr="0081245A">
        <w:t xml:space="preserve">erks and </w:t>
      </w:r>
      <w:r>
        <w:t>a</w:t>
      </w:r>
      <w:r w:rsidRPr="0081245A">
        <w:t>dministrators</w:t>
      </w:r>
      <w:r>
        <w:t>, t</w:t>
      </w:r>
      <w:r w:rsidRPr="0081245A">
        <w:t xml:space="preserve">ribal </w:t>
      </w:r>
      <w:r>
        <w:t>p</w:t>
      </w:r>
      <w:r w:rsidRPr="0081245A">
        <w:t xml:space="preserve">rosecutors and </w:t>
      </w:r>
      <w:r>
        <w:t>a</w:t>
      </w:r>
      <w:r w:rsidRPr="0081245A">
        <w:t>ttorneys</w:t>
      </w:r>
      <w:r>
        <w:t>, d</w:t>
      </w:r>
      <w:r w:rsidRPr="0081245A">
        <w:t xml:space="preserve">iversionary </w:t>
      </w:r>
      <w:r>
        <w:t>c</w:t>
      </w:r>
      <w:r w:rsidRPr="0081245A">
        <w:t>ourt personnel</w:t>
      </w:r>
      <w:r>
        <w:t>, and other t</w:t>
      </w:r>
      <w:r w:rsidRPr="0081245A">
        <w:t xml:space="preserve">ribal </w:t>
      </w:r>
      <w:r>
        <w:t>j</w:t>
      </w:r>
      <w:r w:rsidRPr="0081245A">
        <w:t xml:space="preserve">ustice </w:t>
      </w:r>
      <w:r>
        <w:t>s</w:t>
      </w:r>
      <w:r w:rsidRPr="0081245A">
        <w:t xml:space="preserve">ystem </w:t>
      </w:r>
      <w:r>
        <w:t>of</w:t>
      </w:r>
      <w:r w:rsidRPr="0081245A">
        <w:t>ficials</w:t>
      </w:r>
      <w:r>
        <w:t>.</w:t>
      </w:r>
    </w:p>
    <w:p w14:paraId="5BFC64CA" w14:textId="77777777" w:rsidR="00FD1856" w:rsidRPr="006C0BF4" w:rsidRDefault="00FD1856" w:rsidP="00FD1856">
      <w:r w:rsidRPr="006C0BF4">
        <w:t> </w:t>
      </w:r>
    </w:p>
    <w:p w14:paraId="7CB36DF9" w14:textId="43FCCFAE" w:rsidR="00FD1856" w:rsidRPr="006C0BF4" w:rsidRDefault="00FD1856" w:rsidP="00FD1856">
      <w:r w:rsidRPr="006C0BF4">
        <w:rPr>
          <w:b/>
          <w:bCs/>
        </w:rPr>
        <w:t>Registration:</w:t>
      </w:r>
      <w:r>
        <w:t xml:space="preserve"> </w:t>
      </w:r>
      <w:r w:rsidRPr="00FD1856">
        <w:rPr>
          <w:rFonts w:cs="Calibri"/>
          <w:color w:val="212121"/>
        </w:rPr>
        <w:t>This event is free for all participants. However, each participant is responsible for their own travel costs</w:t>
      </w:r>
      <w:r w:rsidRPr="00FD1856">
        <w:t xml:space="preserve">. </w:t>
      </w:r>
      <w:r w:rsidRPr="006C0BF4">
        <w:t xml:space="preserve">To register for this event: </w:t>
      </w:r>
      <w:hyperlink r:id="rId9" w:history="1">
        <w:r w:rsidRPr="006C0BF4">
          <w:rPr>
            <w:rStyle w:val="Hyperlink"/>
          </w:rPr>
          <w:t>https://und.qualtrics.com/jfe/form/SV_8ukXjmQ4p4BDpFs</w:t>
        </w:r>
      </w:hyperlink>
    </w:p>
    <w:p w14:paraId="0A8EEC6F" w14:textId="77777777" w:rsidR="00FD1856" w:rsidRDefault="00FD1856" w:rsidP="00FD1856">
      <w:r w:rsidRPr="006C0BF4">
        <w:t> </w:t>
      </w:r>
    </w:p>
    <w:p w14:paraId="384A9208" w14:textId="4CE32AB5" w:rsidR="00424460" w:rsidRDefault="00424460" w:rsidP="00FD1856">
      <w:r w:rsidRPr="00FD1856">
        <w:t>Lodging details will be forthcoming</w:t>
      </w:r>
      <w:r>
        <w:t>.</w:t>
      </w:r>
    </w:p>
    <w:p w14:paraId="31DB80A6" w14:textId="77777777" w:rsidR="00424460" w:rsidRDefault="00424460" w:rsidP="00FD1856"/>
    <w:p w14:paraId="28112548" w14:textId="77777777" w:rsidR="00FD1856" w:rsidRPr="00424460" w:rsidRDefault="00FD1856" w:rsidP="00FD1856">
      <w:pPr>
        <w:rPr>
          <w:i/>
          <w:iCs/>
        </w:rPr>
      </w:pPr>
      <w:r w:rsidRPr="00424460">
        <w:rPr>
          <w:b/>
          <w:bCs/>
          <w:i/>
          <w:iCs/>
        </w:rPr>
        <w:t>Important Note:</w:t>
      </w:r>
      <w:r w:rsidRPr="00424460">
        <w:rPr>
          <w:i/>
          <w:iCs/>
        </w:rPr>
        <w:t xml:space="preserve"> This event is pending DOJ approval and is subject to cancellation. </w:t>
      </w:r>
    </w:p>
    <w:p w14:paraId="6A1645A7" w14:textId="519AD6DA" w:rsidR="00FD1856" w:rsidRPr="00FD1856" w:rsidRDefault="00FD1856" w:rsidP="00FD1856">
      <w:pPr>
        <w:tabs>
          <w:tab w:val="left" w:pos="3678"/>
        </w:tabs>
      </w:pPr>
    </w:p>
    <w:sectPr w:rsidR="00FD1856" w:rsidRPr="00FD1856" w:rsidSect="00FD18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56DB" w14:textId="77777777" w:rsidR="00A4452F" w:rsidRDefault="00A4452F" w:rsidP="00FD1856">
      <w:r>
        <w:separator/>
      </w:r>
    </w:p>
  </w:endnote>
  <w:endnote w:type="continuationSeparator" w:id="0">
    <w:p w14:paraId="78D97F85" w14:textId="77777777" w:rsidR="00A4452F" w:rsidRDefault="00A4452F" w:rsidP="00FD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BCBC" w14:textId="7B2F598A" w:rsidR="00FD1856" w:rsidRPr="00203E77" w:rsidRDefault="00FD1856" w:rsidP="00FD1856">
    <w:pPr>
      <w:autoSpaceDE w:val="0"/>
      <w:autoSpaceDN w:val="0"/>
      <w:adjustRightInd w:val="0"/>
      <w:rPr>
        <w:rFonts w:cstheme="minorHAnsi"/>
        <w:color w:val="0A0A0A"/>
        <w:kern w:val="0"/>
        <w:sz w:val="22"/>
        <w:szCs w:val="22"/>
      </w:rPr>
    </w:pPr>
    <w:r w:rsidRPr="00203E77">
      <w:rPr>
        <w:rFonts w:cstheme="minorHAnsi"/>
        <w:color w:val="0A0A0A"/>
        <w:kern w:val="0"/>
        <w:sz w:val="22"/>
        <w:szCs w:val="22"/>
      </w:rPr>
      <w:t>This project was supported by Grant No. 2019-MU-</w:t>
    </w:r>
    <w:r w:rsidR="00261D91">
      <w:rPr>
        <w:rFonts w:cstheme="minorHAnsi"/>
        <w:color w:val="0A0A0A"/>
        <w:kern w:val="0"/>
        <w:sz w:val="22"/>
        <w:szCs w:val="22"/>
      </w:rPr>
      <w:t>MU-</w:t>
    </w:r>
    <w:r w:rsidR="00261D91" w:rsidRPr="00203E77">
      <w:rPr>
        <w:rFonts w:cstheme="minorHAnsi"/>
        <w:color w:val="0A0A0A"/>
        <w:kern w:val="0"/>
        <w:sz w:val="22"/>
        <w:szCs w:val="22"/>
      </w:rPr>
      <w:t xml:space="preserve"> </w:t>
    </w:r>
    <w:r w:rsidRPr="00203E77">
      <w:rPr>
        <w:rFonts w:cstheme="minorHAnsi"/>
        <w:color w:val="0A0A0A"/>
        <w:kern w:val="0"/>
        <w:sz w:val="22"/>
        <w:szCs w:val="22"/>
      </w:rPr>
      <w:t>K0</w:t>
    </w:r>
    <w:r w:rsidR="00261D91">
      <w:rPr>
        <w:rFonts w:cstheme="minorHAnsi"/>
        <w:color w:val="0A0A0A"/>
        <w:kern w:val="0"/>
        <w:sz w:val="22"/>
        <w:szCs w:val="22"/>
      </w:rPr>
      <w:t>0</w:t>
    </w:r>
    <w:r w:rsidRPr="00203E77">
      <w:rPr>
        <w:rFonts w:cstheme="minorHAnsi"/>
        <w:color w:val="0A0A0A"/>
        <w:kern w:val="0"/>
        <w:sz w:val="22"/>
        <w:szCs w:val="22"/>
      </w:rPr>
      <w:t>1 awarded by the Bureau of Justice Assistance. The Bureau of Justice Assistance is a component of the Department of Justice's</w:t>
    </w:r>
    <w:r>
      <w:rPr>
        <w:rFonts w:cstheme="minorHAnsi"/>
        <w:color w:val="0A0A0A"/>
        <w:kern w:val="0"/>
        <w:sz w:val="22"/>
        <w:szCs w:val="22"/>
      </w:rPr>
      <w:t xml:space="preserve"> </w:t>
    </w:r>
    <w:r w:rsidRPr="00203E77">
      <w:rPr>
        <w:rFonts w:cstheme="minorHAnsi"/>
        <w:color w:val="0A0A0A"/>
        <w:kern w:val="0"/>
        <w:sz w:val="22"/>
        <w:szCs w:val="22"/>
      </w:rPr>
      <w:t>Office of Justice Programs, which also includes the Bureau of Justice Statistics, the National Institute of Justice, the Office of Juvenile Justice and Delinquency Prevention, the Office for Victims of Crime, and the SMART Office. Points of view or opinions in this document are those of the author and do not necessarily represent the official position or policies of the U.S. Department of Justice.</w:t>
    </w:r>
  </w:p>
  <w:p w14:paraId="3614D87C" w14:textId="77777777" w:rsidR="00FD1856" w:rsidRDefault="00FD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077A" w14:textId="77777777" w:rsidR="00A4452F" w:rsidRDefault="00A4452F" w:rsidP="00FD1856">
      <w:r>
        <w:separator/>
      </w:r>
    </w:p>
  </w:footnote>
  <w:footnote w:type="continuationSeparator" w:id="0">
    <w:p w14:paraId="06061A3B" w14:textId="77777777" w:rsidR="00A4452F" w:rsidRDefault="00A4452F" w:rsidP="00FD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3516" w14:textId="77777777" w:rsidR="00FD1856" w:rsidRDefault="00FD1856">
    <w:pPr>
      <w:pStyle w:val="Header"/>
    </w:pPr>
    <w:r>
      <w:rPr>
        <w:noProof/>
      </w:rPr>
      <mc:AlternateContent>
        <mc:Choice Requires="wps">
          <w:drawing>
            <wp:anchor distT="0" distB="0" distL="114300" distR="114300" simplePos="0" relativeHeight="251659264" behindDoc="0" locked="0" layoutInCell="1" allowOverlap="1" wp14:anchorId="53246076" wp14:editId="65C79893">
              <wp:simplePos x="0" y="0"/>
              <wp:positionH relativeFrom="page">
                <wp:posOffset>234778</wp:posOffset>
              </wp:positionH>
              <wp:positionV relativeFrom="page">
                <wp:posOffset>98854</wp:posOffset>
              </wp:positionV>
              <wp:extent cx="914400" cy="753333"/>
              <wp:effectExtent l="0" t="0" r="1270" b="0"/>
              <wp:wrapNone/>
              <wp:docPr id="47" name="Rectangle 7" title="Document Title"/>
              <wp:cNvGraphicFramePr/>
              <a:graphic xmlns:a="http://schemas.openxmlformats.org/drawingml/2006/main">
                <a:graphicData uri="http://schemas.microsoft.com/office/word/2010/wordprocessingShape">
                  <wps:wsp>
                    <wps:cNvSpPr/>
                    <wps:spPr>
                      <a:xfrm>
                        <a:off x="0" y="0"/>
                        <a:ext cx="914400" cy="75333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06FF7DA" w14:textId="6DC998FA" w:rsidR="00FD1856" w:rsidRDefault="00FD1856">
                              <w:pPr>
                                <w:pStyle w:val="NoSpacing"/>
                                <w:jc w:val="center"/>
                                <w:rPr>
                                  <w:b/>
                                  <w:caps/>
                                  <w:spacing w:val="20"/>
                                  <w:sz w:val="28"/>
                                  <w:szCs w:val="28"/>
                                </w:rPr>
                              </w:pPr>
                              <w:r>
                                <w:rPr>
                                  <w:b/>
                                  <w:caps/>
                                  <w:spacing w:val="20"/>
                                  <w:sz w:val="28"/>
                                  <w:szCs w:val="28"/>
                                </w:rPr>
                                <w:t>SAVE THE DATE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3246076" id="Rectangle 7" o:spid="_x0000_s1026" alt="Title: Document Title" style="position:absolute;margin-left:18.5pt;margin-top:7.8pt;width:1in;height:59.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" fillcolor="#1485a4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06FF7DA" w14:textId="6DC998FA" w:rsidR="00FD1856" w:rsidRDefault="00FD1856">
                        <w:pPr>
                          <w:pStyle w:val="NoSpacing"/>
                          <w:jc w:val="center"/>
                          <w:rPr>
                            <w:b/>
                            <w:caps/>
                            <w:spacing w:val="20"/>
                            <w:sz w:val="28"/>
                            <w:szCs w:val="28"/>
                          </w:rPr>
                        </w:pPr>
                        <w:r>
                          <w:rPr>
                            <w:b/>
                            <w:caps/>
                            <w:spacing w:val="20"/>
                            <w:sz w:val="28"/>
                            <w:szCs w:val="28"/>
                          </w:rPr>
                          <w:t>SAVE THE DATE</w:t>
                        </w:r>
                      </w:p>
                    </w:sdtContent>
                  </w:sdt>
                </w:txbxContent>
              </v:textbox>
              <w10:wrap anchorx="page" anchory="page"/>
            </v:rect>
          </w:pict>
        </mc:Fallback>
      </mc:AlternateContent>
    </w:r>
  </w:p>
  <w:p w14:paraId="5B4A3485" w14:textId="77777777" w:rsidR="00FD1856" w:rsidRDefault="00FD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08BF"/>
    <w:multiLevelType w:val="hybridMultilevel"/>
    <w:tmpl w:val="8E20CA82"/>
    <w:lvl w:ilvl="0" w:tplc="89585A22">
      <w:start w:val="1"/>
      <w:numFmt w:val="bullet"/>
      <w:lvlText w:val=""/>
      <w:lvlJc w:val="left"/>
      <w:pPr>
        <w:tabs>
          <w:tab w:val="num" w:pos="720"/>
        </w:tabs>
        <w:ind w:left="720" w:hanging="360"/>
      </w:pPr>
      <w:rPr>
        <w:rFonts w:ascii="Symbol" w:hAnsi="Symbol" w:hint="default"/>
      </w:rPr>
    </w:lvl>
    <w:lvl w:ilvl="1" w:tplc="20969346" w:tentative="1">
      <w:start w:val="1"/>
      <w:numFmt w:val="bullet"/>
      <w:lvlText w:val=""/>
      <w:lvlJc w:val="left"/>
      <w:pPr>
        <w:tabs>
          <w:tab w:val="num" w:pos="1440"/>
        </w:tabs>
        <w:ind w:left="1440" w:hanging="360"/>
      </w:pPr>
      <w:rPr>
        <w:rFonts w:ascii="Symbol" w:hAnsi="Symbol" w:hint="default"/>
      </w:rPr>
    </w:lvl>
    <w:lvl w:ilvl="2" w:tplc="481CAA8C" w:tentative="1">
      <w:start w:val="1"/>
      <w:numFmt w:val="bullet"/>
      <w:lvlText w:val=""/>
      <w:lvlJc w:val="left"/>
      <w:pPr>
        <w:tabs>
          <w:tab w:val="num" w:pos="2160"/>
        </w:tabs>
        <w:ind w:left="2160" w:hanging="360"/>
      </w:pPr>
      <w:rPr>
        <w:rFonts w:ascii="Symbol" w:hAnsi="Symbol" w:hint="default"/>
      </w:rPr>
    </w:lvl>
    <w:lvl w:ilvl="3" w:tplc="317E0FC0" w:tentative="1">
      <w:start w:val="1"/>
      <w:numFmt w:val="bullet"/>
      <w:lvlText w:val=""/>
      <w:lvlJc w:val="left"/>
      <w:pPr>
        <w:tabs>
          <w:tab w:val="num" w:pos="2880"/>
        </w:tabs>
        <w:ind w:left="2880" w:hanging="360"/>
      </w:pPr>
      <w:rPr>
        <w:rFonts w:ascii="Symbol" w:hAnsi="Symbol" w:hint="default"/>
      </w:rPr>
    </w:lvl>
    <w:lvl w:ilvl="4" w:tplc="AAD2ED28" w:tentative="1">
      <w:start w:val="1"/>
      <w:numFmt w:val="bullet"/>
      <w:lvlText w:val=""/>
      <w:lvlJc w:val="left"/>
      <w:pPr>
        <w:tabs>
          <w:tab w:val="num" w:pos="3600"/>
        </w:tabs>
        <w:ind w:left="3600" w:hanging="360"/>
      </w:pPr>
      <w:rPr>
        <w:rFonts w:ascii="Symbol" w:hAnsi="Symbol" w:hint="default"/>
      </w:rPr>
    </w:lvl>
    <w:lvl w:ilvl="5" w:tplc="D8F27518" w:tentative="1">
      <w:start w:val="1"/>
      <w:numFmt w:val="bullet"/>
      <w:lvlText w:val=""/>
      <w:lvlJc w:val="left"/>
      <w:pPr>
        <w:tabs>
          <w:tab w:val="num" w:pos="4320"/>
        </w:tabs>
        <w:ind w:left="4320" w:hanging="360"/>
      </w:pPr>
      <w:rPr>
        <w:rFonts w:ascii="Symbol" w:hAnsi="Symbol" w:hint="default"/>
      </w:rPr>
    </w:lvl>
    <w:lvl w:ilvl="6" w:tplc="AD1A2F42" w:tentative="1">
      <w:start w:val="1"/>
      <w:numFmt w:val="bullet"/>
      <w:lvlText w:val=""/>
      <w:lvlJc w:val="left"/>
      <w:pPr>
        <w:tabs>
          <w:tab w:val="num" w:pos="5040"/>
        </w:tabs>
        <w:ind w:left="5040" w:hanging="360"/>
      </w:pPr>
      <w:rPr>
        <w:rFonts w:ascii="Symbol" w:hAnsi="Symbol" w:hint="default"/>
      </w:rPr>
    </w:lvl>
    <w:lvl w:ilvl="7" w:tplc="4C608F6A" w:tentative="1">
      <w:start w:val="1"/>
      <w:numFmt w:val="bullet"/>
      <w:lvlText w:val=""/>
      <w:lvlJc w:val="left"/>
      <w:pPr>
        <w:tabs>
          <w:tab w:val="num" w:pos="5760"/>
        </w:tabs>
        <w:ind w:left="5760" w:hanging="360"/>
      </w:pPr>
      <w:rPr>
        <w:rFonts w:ascii="Symbol" w:hAnsi="Symbol" w:hint="default"/>
      </w:rPr>
    </w:lvl>
    <w:lvl w:ilvl="8" w:tplc="7E0038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95096F"/>
    <w:multiLevelType w:val="hybridMultilevel"/>
    <w:tmpl w:val="2E6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644135">
    <w:abstractNumId w:val="0"/>
  </w:num>
  <w:num w:numId="2" w16cid:durableId="152089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56"/>
    <w:rsid w:val="00083C90"/>
    <w:rsid w:val="00261D91"/>
    <w:rsid w:val="002720C0"/>
    <w:rsid w:val="00411DBB"/>
    <w:rsid w:val="00424460"/>
    <w:rsid w:val="00446FC6"/>
    <w:rsid w:val="004F2627"/>
    <w:rsid w:val="00A4452F"/>
    <w:rsid w:val="00B20917"/>
    <w:rsid w:val="00B566CE"/>
    <w:rsid w:val="00BB1CC7"/>
    <w:rsid w:val="00BC5E4E"/>
    <w:rsid w:val="00C508A7"/>
    <w:rsid w:val="00FD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D5201"/>
  <w15:chartTrackingRefBased/>
  <w15:docId w15:val="{14333A9A-FE8F-414F-83B6-CC61C599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856"/>
    <w:rPr>
      <w:color w:val="F49100" w:themeColor="hyperlink"/>
      <w:u w:val="single"/>
    </w:rPr>
  </w:style>
  <w:style w:type="paragraph" w:styleId="ListParagraph">
    <w:name w:val="List Paragraph"/>
    <w:basedOn w:val="Normal"/>
    <w:uiPriority w:val="34"/>
    <w:qFormat/>
    <w:rsid w:val="00FD1856"/>
    <w:pPr>
      <w:ind w:left="720"/>
      <w:contextualSpacing/>
    </w:pPr>
  </w:style>
  <w:style w:type="paragraph" w:styleId="Header">
    <w:name w:val="header"/>
    <w:basedOn w:val="Normal"/>
    <w:link w:val="HeaderChar"/>
    <w:uiPriority w:val="99"/>
    <w:unhideWhenUsed/>
    <w:rsid w:val="00FD1856"/>
    <w:pPr>
      <w:tabs>
        <w:tab w:val="center" w:pos="4680"/>
        <w:tab w:val="right" w:pos="9360"/>
      </w:tabs>
    </w:pPr>
  </w:style>
  <w:style w:type="character" w:customStyle="1" w:styleId="HeaderChar">
    <w:name w:val="Header Char"/>
    <w:basedOn w:val="DefaultParagraphFont"/>
    <w:link w:val="Header"/>
    <w:uiPriority w:val="99"/>
    <w:rsid w:val="00FD1856"/>
  </w:style>
  <w:style w:type="paragraph" w:styleId="Footer">
    <w:name w:val="footer"/>
    <w:basedOn w:val="Normal"/>
    <w:link w:val="FooterChar"/>
    <w:uiPriority w:val="99"/>
    <w:unhideWhenUsed/>
    <w:rsid w:val="00FD1856"/>
    <w:pPr>
      <w:tabs>
        <w:tab w:val="center" w:pos="4680"/>
        <w:tab w:val="right" w:pos="9360"/>
      </w:tabs>
    </w:pPr>
  </w:style>
  <w:style w:type="character" w:customStyle="1" w:styleId="FooterChar">
    <w:name w:val="Footer Char"/>
    <w:basedOn w:val="DefaultParagraphFont"/>
    <w:link w:val="Footer"/>
    <w:uiPriority w:val="99"/>
    <w:rsid w:val="00FD1856"/>
  </w:style>
  <w:style w:type="paragraph" w:styleId="NoSpacing">
    <w:name w:val="No Spacing"/>
    <w:uiPriority w:val="1"/>
    <w:qFormat/>
    <w:rsid w:val="00FD1856"/>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qualtrics.com/jfe/form/SV_8ukXjmQ4p4BDpF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DATE</dc:title>
  <dc:subject/>
  <dc:creator>Parks, Michelle</dc:creator>
  <cp:keywords/>
  <dc:description/>
  <cp:lastModifiedBy>Parks, Michelle</cp:lastModifiedBy>
  <cp:revision>5</cp:revision>
  <dcterms:created xsi:type="dcterms:W3CDTF">2023-11-08T17:08:00Z</dcterms:created>
  <dcterms:modified xsi:type="dcterms:W3CDTF">2023-11-16T23:19:00Z</dcterms:modified>
</cp:coreProperties>
</file>